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57C" w:rsidRPr="003C5C57" w:rsidRDefault="00CD457C" w:rsidP="00BA6DE8">
      <w:pPr>
        <w:spacing w:after="0" w:line="480" w:lineRule="auto"/>
        <w:contextualSpacing/>
        <w:jc w:val="both"/>
        <w:rPr>
          <w:rFonts w:ascii="Times New Roman" w:hAnsi="Times New Roman"/>
          <w:b/>
          <w:sz w:val="24"/>
          <w:szCs w:val="24"/>
        </w:rPr>
      </w:pPr>
      <w:bookmarkStart w:id="0" w:name="_GoBack"/>
      <w:bookmarkEnd w:id="0"/>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B648C4" w:rsidRPr="003C5C57" w:rsidRDefault="00B648C4" w:rsidP="00BA6DE8">
      <w:pPr>
        <w:spacing w:after="0" w:line="480" w:lineRule="auto"/>
        <w:contextualSpacing/>
        <w:jc w:val="center"/>
        <w:rPr>
          <w:rFonts w:ascii="Times New Roman" w:hAnsi="Times New Roman"/>
          <w:sz w:val="24"/>
          <w:szCs w:val="24"/>
        </w:rPr>
      </w:pPr>
      <w:r w:rsidRPr="003C5C57">
        <w:rPr>
          <w:rFonts w:ascii="Times New Roman" w:hAnsi="Times New Roman"/>
          <w:sz w:val="24"/>
          <w:szCs w:val="24"/>
        </w:rPr>
        <w:t>Financial Analysis of Uniliver Group</w:t>
      </w:r>
    </w:p>
    <w:p w:rsidR="00CD457C" w:rsidRPr="003C5C57" w:rsidRDefault="00CD457C" w:rsidP="00BA6DE8">
      <w:pPr>
        <w:spacing w:after="0" w:line="480" w:lineRule="auto"/>
        <w:contextualSpacing/>
        <w:jc w:val="center"/>
        <w:rPr>
          <w:rFonts w:ascii="Times New Roman" w:hAnsi="Times New Roman"/>
          <w:sz w:val="24"/>
          <w:szCs w:val="24"/>
        </w:rPr>
      </w:pPr>
      <w:r w:rsidRPr="003C5C57">
        <w:rPr>
          <w:rFonts w:ascii="Times New Roman" w:hAnsi="Times New Roman"/>
          <w:sz w:val="24"/>
          <w:szCs w:val="24"/>
        </w:rPr>
        <w:t>Name</w:t>
      </w:r>
    </w:p>
    <w:p w:rsidR="00CD457C" w:rsidRPr="003C5C57" w:rsidRDefault="00CD457C" w:rsidP="00BA6DE8">
      <w:pPr>
        <w:spacing w:after="0" w:line="480" w:lineRule="auto"/>
        <w:contextualSpacing/>
        <w:jc w:val="center"/>
        <w:rPr>
          <w:rFonts w:ascii="Times New Roman" w:hAnsi="Times New Roman"/>
          <w:sz w:val="24"/>
          <w:szCs w:val="24"/>
        </w:rPr>
      </w:pPr>
      <w:r w:rsidRPr="003C5C57">
        <w:rPr>
          <w:rFonts w:ascii="Times New Roman" w:hAnsi="Times New Roman"/>
          <w:sz w:val="24"/>
          <w:szCs w:val="24"/>
        </w:rPr>
        <w:t>Institution</w:t>
      </w: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BA6DE8" w:rsidRPr="003C5C57" w:rsidRDefault="00BA6DE8" w:rsidP="00BA6DE8">
      <w:pPr>
        <w:pStyle w:val="TOCHeading"/>
        <w:spacing w:line="480" w:lineRule="auto"/>
        <w:contextualSpacing/>
        <w:rPr>
          <w:rFonts w:ascii="Times New Roman" w:hAnsi="Times New Roman"/>
          <w:sz w:val="24"/>
          <w:szCs w:val="24"/>
        </w:rPr>
      </w:pPr>
      <w:r w:rsidRPr="003C5C57">
        <w:rPr>
          <w:rFonts w:ascii="Times New Roman" w:hAnsi="Times New Roman"/>
          <w:sz w:val="24"/>
          <w:szCs w:val="24"/>
        </w:rPr>
        <w:lastRenderedPageBreak/>
        <w:t>Table of Contents</w:t>
      </w:r>
    </w:p>
    <w:p w:rsidR="003C5C57" w:rsidRPr="003854A7" w:rsidRDefault="00BA6DE8">
      <w:pPr>
        <w:pStyle w:val="TOC1"/>
        <w:tabs>
          <w:tab w:val="right" w:leader="dot" w:pos="9350"/>
        </w:tabs>
        <w:rPr>
          <w:rFonts w:ascii="Times New Roman" w:eastAsia="Times New Roman" w:hAnsi="Times New Roman"/>
          <w:noProof/>
          <w:sz w:val="24"/>
          <w:szCs w:val="24"/>
        </w:rPr>
      </w:pPr>
      <w:r w:rsidRPr="003C5C57">
        <w:rPr>
          <w:rFonts w:ascii="Times New Roman" w:hAnsi="Times New Roman"/>
          <w:b/>
          <w:bCs/>
          <w:noProof/>
          <w:sz w:val="24"/>
          <w:szCs w:val="24"/>
        </w:rPr>
        <w:fldChar w:fldCharType="begin"/>
      </w:r>
      <w:r w:rsidRPr="003C5C57">
        <w:rPr>
          <w:rFonts w:ascii="Times New Roman" w:hAnsi="Times New Roman"/>
          <w:b/>
          <w:bCs/>
          <w:noProof/>
          <w:sz w:val="24"/>
          <w:szCs w:val="24"/>
        </w:rPr>
        <w:instrText xml:space="preserve"> TOC \o "1-3" \h \z \u </w:instrText>
      </w:r>
      <w:r w:rsidRPr="003C5C57">
        <w:rPr>
          <w:rFonts w:ascii="Times New Roman" w:hAnsi="Times New Roman"/>
          <w:b/>
          <w:bCs/>
          <w:noProof/>
          <w:sz w:val="24"/>
          <w:szCs w:val="24"/>
        </w:rPr>
        <w:fldChar w:fldCharType="separate"/>
      </w:r>
      <w:hyperlink w:anchor="_Toc528427639" w:history="1">
        <w:r w:rsidR="003C5C57" w:rsidRPr="003C5C57">
          <w:rPr>
            <w:rStyle w:val="Hyperlink"/>
            <w:rFonts w:ascii="Times New Roman" w:hAnsi="Times New Roman"/>
            <w:noProof/>
            <w:sz w:val="24"/>
            <w:szCs w:val="24"/>
          </w:rPr>
          <w:t>Task 1: Financial Analysis of Uniliver Group</w:t>
        </w:r>
        <w:r w:rsidR="003C5C57" w:rsidRPr="003C5C57">
          <w:rPr>
            <w:rFonts w:ascii="Times New Roman" w:hAnsi="Times New Roman"/>
            <w:noProof/>
            <w:webHidden/>
            <w:sz w:val="24"/>
            <w:szCs w:val="24"/>
          </w:rPr>
          <w:tab/>
        </w:r>
        <w:r w:rsidR="003C5C57" w:rsidRPr="003C5C57">
          <w:rPr>
            <w:rFonts w:ascii="Times New Roman" w:hAnsi="Times New Roman"/>
            <w:noProof/>
            <w:webHidden/>
            <w:sz w:val="24"/>
            <w:szCs w:val="24"/>
          </w:rPr>
          <w:fldChar w:fldCharType="begin"/>
        </w:r>
        <w:r w:rsidR="003C5C57" w:rsidRPr="003C5C57">
          <w:rPr>
            <w:rFonts w:ascii="Times New Roman" w:hAnsi="Times New Roman"/>
            <w:noProof/>
            <w:webHidden/>
            <w:sz w:val="24"/>
            <w:szCs w:val="24"/>
          </w:rPr>
          <w:instrText xml:space="preserve"> PAGEREF _Toc528427639 \h </w:instrText>
        </w:r>
        <w:r w:rsidR="003C5C57" w:rsidRPr="003C5C57">
          <w:rPr>
            <w:rFonts w:ascii="Times New Roman" w:hAnsi="Times New Roman"/>
            <w:noProof/>
            <w:webHidden/>
            <w:sz w:val="24"/>
            <w:szCs w:val="24"/>
          </w:rPr>
        </w:r>
        <w:r w:rsidR="003C5C57" w:rsidRPr="003C5C57">
          <w:rPr>
            <w:rFonts w:ascii="Times New Roman" w:hAnsi="Times New Roman"/>
            <w:noProof/>
            <w:webHidden/>
            <w:sz w:val="24"/>
            <w:szCs w:val="24"/>
          </w:rPr>
          <w:fldChar w:fldCharType="separate"/>
        </w:r>
        <w:r w:rsidR="003C5C57" w:rsidRPr="003C5C57">
          <w:rPr>
            <w:rFonts w:ascii="Times New Roman" w:hAnsi="Times New Roman"/>
            <w:noProof/>
            <w:webHidden/>
            <w:sz w:val="24"/>
            <w:szCs w:val="24"/>
          </w:rPr>
          <w:t>5</w:t>
        </w:r>
        <w:r w:rsidR="003C5C57"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40" w:history="1">
        <w:r w:rsidRPr="003C5C57">
          <w:rPr>
            <w:rStyle w:val="Hyperlink"/>
            <w:rFonts w:ascii="Times New Roman" w:hAnsi="Times New Roman"/>
            <w:noProof/>
            <w:sz w:val="24"/>
            <w:szCs w:val="24"/>
          </w:rPr>
          <w:t>Introduction to Uniliver and Competitors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_Toc528427640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5</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41" w:history="1">
        <w:r w:rsidRPr="003C5C57">
          <w:rPr>
            <w:rStyle w:val="Hyperlink"/>
            <w:rFonts w:ascii="Times New Roman" w:hAnsi="Times New Roman"/>
            <w:noProof/>
            <w:sz w:val="24"/>
            <w:szCs w:val="24"/>
          </w:rPr>
          <w:t>Importance of Ratio Analysis: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_Toc528427641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7</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42" w:history="1">
        <w:r w:rsidRPr="003C5C57">
          <w:rPr>
            <w:rStyle w:val="Hyperlink"/>
            <w:rFonts w:ascii="Times New Roman" w:hAnsi="Times New Roman"/>
            <w:noProof/>
            <w:sz w:val="24"/>
            <w:szCs w:val="24"/>
          </w:rPr>
          <w:t>Analysis of Financial Statements: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_Toc528427642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7</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43" w:history="1">
        <w:r w:rsidRPr="003C5C57">
          <w:rPr>
            <w:rStyle w:val="Hyperlink"/>
            <w:rFonts w:ascii="Times New Roman" w:hAnsi="Times New Roman"/>
            <w:noProof/>
            <w:sz w:val="24"/>
            <w:szCs w:val="24"/>
          </w:rPr>
          <w:t>Efficiency Judgment:</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_Toc528427643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8</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44" w:history="1">
        <w:r w:rsidRPr="003C5C57">
          <w:rPr>
            <w:rStyle w:val="Hyperlink"/>
            <w:rFonts w:ascii="Times New Roman" w:hAnsi="Times New Roman"/>
            <w:noProof/>
            <w:sz w:val="24"/>
            <w:szCs w:val="24"/>
          </w:rPr>
          <w:t>Weakness Identification: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_Toc528427644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8</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45" w:history="1">
        <w:r w:rsidRPr="003C5C57">
          <w:rPr>
            <w:rStyle w:val="Hyperlink"/>
            <w:rFonts w:ascii="Times New Roman" w:hAnsi="Times New Roman"/>
            <w:noProof/>
            <w:sz w:val="24"/>
            <w:szCs w:val="24"/>
          </w:rPr>
          <w:t>Plan Formulation: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_Toc528427645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8</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46" w:history="1">
        <w:r w:rsidRPr="003C5C57">
          <w:rPr>
            <w:rStyle w:val="Hyperlink"/>
            <w:rFonts w:ascii="Times New Roman" w:hAnsi="Times New Roman"/>
            <w:noProof/>
            <w:sz w:val="24"/>
            <w:szCs w:val="24"/>
          </w:rPr>
          <w:t>Performance Comparison: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_Toc528427646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8</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47" w:history="1">
        <w:r w:rsidRPr="003C5C57">
          <w:rPr>
            <w:rStyle w:val="Hyperlink"/>
            <w:rFonts w:ascii="Times New Roman" w:hAnsi="Times New Roman"/>
            <w:noProof/>
            <w:sz w:val="24"/>
            <w:szCs w:val="24"/>
          </w:rPr>
          <w:t>Versatility and Usefulness: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_Toc528427647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9</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48" w:history="1">
        <w:r w:rsidRPr="003C5C57">
          <w:rPr>
            <w:rStyle w:val="Hyperlink"/>
            <w:rFonts w:ascii="Times New Roman" w:hAnsi="Times New Roman"/>
            <w:noProof/>
            <w:sz w:val="24"/>
            <w:szCs w:val="24"/>
          </w:rPr>
          <w:t>Common Size Comparison Ratios: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_Toc528427648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9</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49" w:history="1">
        <w:r w:rsidRPr="003C5C57">
          <w:rPr>
            <w:rStyle w:val="Hyperlink"/>
            <w:rFonts w:ascii="Times New Roman" w:hAnsi="Times New Roman"/>
            <w:noProof/>
            <w:sz w:val="24"/>
            <w:szCs w:val="24"/>
          </w:rPr>
          <w:t>Cash and Liquidity:</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_Toc528427649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9</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50" w:history="1">
        <w:r w:rsidRPr="003C5C57">
          <w:rPr>
            <w:rStyle w:val="Hyperlink"/>
            <w:rFonts w:ascii="Times New Roman" w:hAnsi="Times New Roman"/>
            <w:noProof/>
            <w:sz w:val="24"/>
            <w:szCs w:val="24"/>
          </w:rPr>
          <w:t>Efficiency and Turnover:</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_Toc528427650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10</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51" w:history="1">
        <w:r w:rsidRPr="003C5C57">
          <w:rPr>
            <w:rStyle w:val="Hyperlink"/>
            <w:rFonts w:ascii="Times New Roman" w:hAnsi="Times New Roman"/>
            <w:noProof/>
            <w:sz w:val="24"/>
            <w:szCs w:val="24"/>
          </w:rPr>
          <w:t>Financial Analysis of Uniliver and Competitors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_Toc528427651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10</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52" w:history="1">
        <w:r w:rsidRPr="003C5C57">
          <w:rPr>
            <w:rStyle w:val="Hyperlink"/>
            <w:rFonts w:ascii="Times New Roman" w:hAnsi="Times New Roman"/>
            <w:noProof/>
            <w:sz w:val="24"/>
            <w:szCs w:val="24"/>
          </w:rPr>
          <w:t>Gross Profit Margin Ratio:</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_Toc528427652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10</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53" w:history="1">
        <w:r w:rsidRPr="003C5C57">
          <w:rPr>
            <w:rStyle w:val="Hyperlink"/>
            <w:rFonts w:ascii="Times New Roman" w:hAnsi="Times New Roman"/>
            <w:noProof/>
            <w:sz w:val="24"/>
            <w:szCs w:val="24"/>
          </w:rPr>
          <w:t>Operating Profit Margin Ratio</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_Toc528427653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12</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54" w:history="1">
        <w:r w:rsidRPr="003C5C57">
          <w:rPr>
            <w:rStyle w:val="Hyperlink"/>
            <w:rFonts w:ascii="Times New Roman" w:hAnsi="Times New Roman"/>
            <w:noProof/>
            <w:sz w:val="24"/>
            <w:szCs w:val="24"/>
          </w:rPr>
          <w:t>ROCE:</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_Toc528427654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13</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55" w:history="1">
        <w:r w:rsidRPr="003C5C57">
          <w:rPr>
            <w:rStyle w:val="Hyperlink"/>
            <w:rFonts w:ascii="Times New Roman" w:hAnsi="Times New Roman"/>
            <w:noProof/>
            <w:sz w:val="24"/>
            <w:szCs w:val="24"/>
          </w:rPr>
          <w:t>INTEREST COVER RATIO</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_Toc528427655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14</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56" w:history="1">
        <w:r w:rsidRPr="003C5C57">
          <w:rPr>
            <w:rStyle w:val="Hyperlink"/>
            <w:rFonts w:ascii="Times New Roman" w:hAnsi="Times New Roman"/>
            <w:noProof/>
            <w:sz w:val="24"/>
            <w:szCs w:val="24"/>
          </w:rPr>
          <w:t>GEARING RATIO</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_Toc528427656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16</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57" w:history="1">
        <w:r w:rsidRPr="003C5C57">
          <w:rPr>
            <w:rStyle w:val="Hyperlink"/>
            <w:rFonts w:ascii="Times New Roman" w:hAnsi="Times New Roman"/>
            <w:noProof/>
            <w:sz w:val="24"/>
            <w:szCs w:val="24"/>
          </w:rPr>
          <w:t>Conclusion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_Toc528427657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18</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58" w:history="1">
        <w:r w:rsidRPr="003C5C57">
          <w:rPr>
            <w:rStyle w:val="Hyperlink"/>
            <w:rFonts w:ascii="Times New Roman" w:hAnsi="Times New Roman"/>
            <w:noProof/>
            <w:sz w:val="24"/>
            <w:szCs w:val="24"/>
          </w:rPr>
          <w:t>References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_Toc528427658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19</w:t>
        </w:r>
        <w:r w:rsidRPr="003C5C57">
          <w:rPr>
            <w:rFonts w:ascii="Times New Roman" w:hAnsi="Times New Roman"/>
            <w:noProof/>
            <w:webHidden/>
            <w:sz w:val="24"/>
            <w:szCs w:val="24"/>
          </w:rPr>
          <w:fldChar w:fldCharType="end"/>
        </w:r>
      </w:hyperlink>
    </w:p>
    <w:p w:rsidR="003C5C57" w:rsidRPr="003854A7" w:rsidRDefault="003C5C57">
      <w:pPr>
        <w:pStyle w:val="TOC1"/>
        <w:tabs>
          <w:tab w:val="right" w:leader="dot" w:pos="9350"/>
        </w:tabs>
        <w:rPr>
          <w:rFonts w:ascii="Times New Roman" w:eastAsia="Times New Roman" w:hAnsi="Times New Roman"/>
          <w:noProof/>
          <w:sz w:val="24"/>
          <w:szCs w:val="24"/>
        </w:rPr>
      </w:pPr>
      <w:hyperlink w:anchor="_Toc528427659" w:history="1">
        <w:r w:rsidRPr="003C5C57">
          <w:rPr>
            <w:rStyle w:val="Hyperlink"/>
            <w:rFonts w:ascii="Times New Roman" w:hAnsi="Times New Roman"/>
            <w:noProof/>
            <w:sz w:val="24"/>
            <w:szCs w:val="24"/>
          </w:rPr>
          <w:t>Task 2: Budgetary Techniques: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_Toc528427659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20</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60" w:history="1">
        <w:r w:rsidRPr="003C5C57">
          <w:rPr>
            <w:rStyle w:val="Hyperlink"/>
            <w:rFonts w:ascii="Times New Roman" w:hAnsi="Times New Roman"/>
            <w:noProof/>
            <w:sz w:val="24"/>
            <w:szCs w:val="24"/>
          </w:rPr>
          <w:t>Introduction: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_Toc528427660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20</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61" w:history="1">
        <w:r w:rsidRPr="003C5C57">
          <w:rPr>
            <w:rStyle w:val="Hyperlink"/>
            <w:rFonts w:ascii="Times New Roman" w:hAnsi="Times New Roman"/>
            <w:noProof/>
            <w:sz w:val="24"/>
            <w:szCs w:val="24"/>
          </w:rPr>
          <w:t>Budgetary Techniques in a Large Organization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_Toc528427661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22</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62" w:history="1">
        <w:r w:rsidRPr="003C5C57">
          <w:rPr>
            <w:rStyle w:val="Hyperlink"/>
            <w:rFonts w:ascii="Times New Roman" w:hAnsi="Times New Roman"/>
            <w:noProof/>
            <w:sz w:val="24"/>
            <w:szCs w:val="24"/>
          </w:rPr>
          <w:t>Incremental Budgeting:</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_Toc528427662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22</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63" w:history="1">
        <w:r w:rsidRPr="003C5C57">
          <w:rPr>
            <w:rStyle w:val="Hyperlink"/>
            <w:rFonts w:ascii="Times New Roman" w:hAnsi="Times New Roman"/>
            <w:noProof/>
            <w:sz w:val="24"/>
            <w:szCs w:val="24"/>
          </w:rPr>
          <w:t>Activity-based budgeting (ABB):</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_Toc528427663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22</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64" w:history="1">
        <w:r w:rsidRPr="003C5C57">
          <w:rPr>
            <w:rStyle w:val="Hyperlink"/>
            <w:rFonts w:ascii="Times New Roman" w:hAnsi="Times New Roman"/>
            <w:noProof/>
            <w:sz w:val="24"/>
            <w:szCs w:val="24"/>
          </w:rPr>
          <w:t>Value Proposition Budgeting</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_Toc528427664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22</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65" w:history="1">
        <w:r w:rsidRPr="003C5C57">
          <w:rPr>
            <w:rStyle w:val="Hyperlink"/>
            <w:rFonts w:ascii="Times New Roman" w:hAnsi="Times New Roman"/>
            <w:noProof/>
            <w:sz w:val="24"/>
            <w:szCs w:val="24"/>
          </w:rPr>
          <w:t>Zero-Based Budgeting</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_Toc528427665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22</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66" w:history="1">
        <w:r w:rsidRPr="003C5C57">
          <w:rPr>
            <w:rStyle w:val="Hyperlink"/>
            <w:rFonts w:ascii="Times New Roman" w:hAnsi="Times New Roman"/>
            <w:noProof/>
            <w:sz w:val="24"/>
            <w:szCs w:val="24"/>
          </w:rPr>
          <w:t>Other techniques: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_Toc528427666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23</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67" w:history="1">
        <w:r w:rsidRPr="003C5C57">
          <w:rPr>
            <w:rStyle w:val="Hyperlink"/>
            <w:rFonts w:ascii="Times New Roman" w:hAnsi="Times New Roman"/>
            <w:noProof/>
            <w:sz w:val="24"/>
            <w:szCs w:val="24"/>
          </w:rPr>
          <w:t>Need to Continue Budgeting:</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_Toc528427667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23</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68" w:history="1">
        <w:r w:rsidRPr="003C5C57">
          <w:rPr>
            <w:rStyle w:val="Hyperlink"/>
            <w:rFonts w:ascii="Times New Roman" w:hAnsi="Times New Roman"/>
            <w:noProof/>
            <w:sz w:val="24"/>
            <w:szCs w:val="24"/>
          </w:rPr>
          <w:t>Budgeting Criticisms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_Toc528427668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24</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69" w:history="1">
        <w:r w:rsidRPr="003C5C57">
          <w:rPr>
            <w:rStyle w:val="Hyperlink"/>
            <w:rFonts w:ascii="Times New Roman" w:hAnsi="Times New Roman"/>
            <w:noProof/>
            <w:sz w:val="24"/>
            <w:szCs w:val="24"/>
          </w:rPr>
          <w:t>Need for Flexible Budgeting</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_Toc528427669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25</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70" w:history="1">
        <w:r w:rsidRPr="003C5C57">
          <w:rPr>
            <w:rStyle w:val="Hyperlink"/>
            <w:rFonts w:ascii="Times New Roman" w:hAnsi="Times New Roman"/>
            <w:noProof/>
            <w:sz w:val="24"/>
            <w:szCs w:val="24"/>
          </w:rPr>
          <w:t>Examples of Success and Failed Companies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_Toc528427670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27</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71" w:history="1">
        <w:r w:rsidRPr="003C5C57">
          <w:rPr>
            <w:rStyle w:val="Hyperlink"/>
            <w:rFonts w:ascii="Times New Roman" w:hAnsi="Times New Roman"/>
            <w:noProof/>
            <w:sz w:val="24"/>
            <w:szCs w:val="24"/>
          </w:rPr>
          <w:t>Comprehensive Budgeting Techniques: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_Toc528427671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27</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72" w:history="1">
        <w:r w:rsidRPr="003C5C57">
          <w:rPr>
            <w:rStyle w:val="Hyperlink"/>
            <w:rFonts w:ascii="Times New Roman" w:hAnsi="Times New Roman"/>
            <w:noProof/>
            <w:sz w:val="24"/>
            <w:szCs w:val="24"/>
          </w:rPr>
          <w:t>Revenue Budgets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_Toc528427672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29</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73" w:history="1">
        <w:r w:rsidRPr="003C5C57">
          <w:rPr>
            <w:rStyle w:val="Hyperlink"/>
            <w:rFonts w:ascii="Times New Roman" w:hAnsi="Times New Roman"/>
            <w:noProof/>
            <w:sz w:val="24"/>
            <w:szCs w:val="24"/>
          </w:rPr>
          <w:t>Activity-based budgeting (ABB)</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_Toc528427673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29</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74" w:history="1">
        <w:r w:rsidRPr="003C5C57">
          <w:rPr>
            <w:rStyle w:val="Hyperlink"/>
            <w:rFonts w:ascii="Times New Roman" w:hAnsi="Times New Roman"/>
            <w:noProof/>
            <w:sz w:val="24"/>
            <w:szCs w:val="24"/>
          </w:rPr>
          <w:t>Zero-based Budgeting (ZBB)</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_Toc528427674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30</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76" w:history="1">
        <w:r w:rsidRPr="003C5C57">
          <w:rPr>
            <w:rStyle w:val="Hyperlink"/>
            <w:rFonts w:ascii="Times New Roman" w:hAnsi="Times New Roman"/>
            <w:noProof/>
            <w:sz w:val="24"/>
            <w:szCs w:val="24"/>
          </w:rPr>
          <w:t>Capital Budgeting</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_Toc528427676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31</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82" w:history="1">
        <w:r w:rsidRPr="003C5C57">
          <w:rPr>
            <w:rStyle w:val="Hyperlink"/>
            <w:rFonts w:ascii="Times New Roman" w:hAnsi="Times New Roman"/>
            <w:noProof/>
            <w:sz w:val="24"/>
            <w:szCs w:val="24"/>
          </w:rPr>
          <w:t>Beyond budgeting (BB)</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_Toc528427682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32</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83" w:history="1">
        <w:r w:rsidRPr="003C5C57">
          <w:rPr>
            <w:rStyle w:val="Hyperlink"/>
            <w:rFonts w:ascii="Times New Roman" w:hAnsi="Times New Roman"/>
            <w:noProof/>
            <w:sz w:val="24"/>
            <w:szCs w:val="24"/>
          </w:rPr>
          <w:t>Role of Technology in Budgeting, Planning and Forecasting</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_Toc528427683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32</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84" w:history="1">
        <w:r w:rsidRPr="003C5C57">
          <w:rPr>
            <w:rStyle w:val="Hyperlink"/>
            <w:rFonts w:ascii="Times New Roman" w:hAnsi="Times New Roman"/>
            <w:noProof/>
            <w:sz w:val="24"/>
            <w:szCs w:val="24"/>
          </w:rPr>
          <w:t>Conclusion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_Toc528427684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33</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85" w:history="1">
        <w:r w:rsidRPr="003C5C57">
          <w:rPr>
            <w:rStyle w:val="Hyperlink"/>
            <w:rFonts w:ascii="Times New Roman" w:hAnsi="Times New Roman"/>
            <w:noProof/>
            <w:sz w:val="24"/>
            <w:szCs w:val="24"/>
          </w:rPr>
          <w:t>References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_Toc528427685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34</w:t>
        </w:r>
        <w:r w:rsidRPr="003C5C57">
          <w:rPr>
            <w:rFonts w:ascii="Times New Roman" w:hAnsi="Times New Roman"/>
            <w:noProof/>
            <w:webHidden/>
            <w:sz w:val="24"/>
            <w:szCs w:val="24"/>
          </w:rPr>
          <w:fldChar w:fldCharType="end"/>
        </w:r>
      </w:hyperlink>
    </w:p>
    <w:p w:rsidR="003C5C57" w:rsidRPr="003854A7" w:rsidRDefault="003C5C57">
      <w:pPr>
        <w:pStyle w:val="TOC1"/>
        <w:tabs>
          <w:tab w:val="right" w:leader="dot" w:pos="9350"/>
        </w:tabs>
        <w:rPr>
          <w:rFonts w:ascii="Times New Roman" w:eastAsia="Times New Roman" w:hAnsi="Times New Roman"/>
          <w:noProof/>
          <w:sz w:val="24"/>
          <w:szCs w:val="24"/>
        </w:rPr>
      </w:pPr>
      <w:hyperlink w:anchor="_Toc528427686" w:history="1">
        <w:r w:rsidRPr="003C5C57">
          <w:rPr>
            <w:rStyle w:val="Hyperlink"/>
            <w:rFonts w:ascii="Times New Roman" w:hAnsi="Times New Roman"/>
            <w:noProof/>
            <w:sz w:val="24"/>
            <w:szCs w:val="24"/>
          </w:rPr>
          <w:t>Task 3: Performance Measurement Techniques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_Toc528427686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36</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87" w:history="1">
        <w:r w:rsidRPr="003C5C57">
          <w:rPr>
            <w:rStyle w:val="Hyperlink"/>
            <w:rFonts w:ascii="Times New Roman" w:hAnsi="Times New Roman"/>
            <w:noProof/>
            <w:sz w:val="24"/>
            <w:szCs w:val="24"/>
          </w:rPr>
          <w:t>Introduction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_Toc528427687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36</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89" w:history="1">
        <w:r w:rsidRPr="003C5C57">
          <w:rPr>
            <w:rStyle w:val="Hyperlink"/>
            <w:rFonts w:ascii="Times New Roman" w:hAnsi="Times New Roman"/>
            <w:noProof/>
            <w:sz w:val="24"/>
            <w:szCs w:val="24"/>
          </w:rPr>
          <w:t>Benchmarking –</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_Toc528427689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36</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90" w:history="1">
        <w:r w:rsidRPr="003C5C57">
          <w:rPr>
            <w:rStyle w:val="Hyperlink"/>
            <w:rFonts w:ascii="Times New Roman" w:hAnsi="Times New Roman"/>
            <w:noProof/>
            <w:sz w:val="24"/>
            <w:szCs w:val="24"/>
          </w:rPr>
          <w:t>Academic Definition: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_Toc528427690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36</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91" w:history="1">
        <w:r w:rsidRPr="003C5C57">
          <w:rPr>
            <w:rStyle w:val="Hyperlink"/>
            <w:rFonts w:ascii="Times New Roman" w:hAnsi="Times New Roman"/>
            <w:noProof/>
            <w:sz w:val="24"/>
            <w:szCs w:val="24"/>
          </w:rPr>
          <w:t>Types: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_Toc528427691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36</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92" w:history="1">
        <w:r w:rsidRPr="003C5C57">
          <w:rPr>
            <w:rStyle w:val="Hyperlink"/>
            <w:rFonts w:ascii="Times New Roman" w:hAnsi="Times New Roman"/>
            <w:noProof/>
            <w:sz w:val="24"/>
            <w:szCs w:val="24"/>
          </w:rPr>
          <w:t>Balance Scorecards (BSC)</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_Toc528427692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37</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93" w:history="1">
        <w:r w:rsidRPr="003C5C57">
          <w:rPr>
            <w:rStyle w:val="Hyperlink"/>
            <w:rFonts w:ascii="Times New Roman" w:hAnsi="Times New Roman"/>
            <w:noProof/>
            <w:sz w:val="24"/>
            <w:szCs w:val="24"/>
          </w:rPr>
          <w:t>Financial:</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_Toc528427693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38</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94" w:history="1">
        <w:r w:rsidRPr="003C5C57">
          <w:rPr>
            <w:rStyle w:val="Hyperlink"/>
            <w:rFonts w:ascii="Times New Roman" w:hAnsi="Times New Roman"/>
            <w:noProof/>
            <w:sz w:val="24"/>
            <w:szCs w:val="24"/>
          </w:rPr>
          <w:t>Internal efficiency:</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_Toc528427694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38</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95" w:history="1">
        <w:r w:rsidRPr="003C5C57">
          <w:rPr>
            <w:rStyle w:val="Hyperlink"/>
            <w:rFonts w:ascii="Times New Roman" w:hAnsi="Times New Roman"/>
            <w:noProof/>
            <w:sz w:val="24"/>
            <w:szCs w:val="24"/>
          </w:rPr>
          <w:t>Learning and growth:</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_Toc528427695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38</w:t>
        </w:r>
        <w:r w:rsidRPr="003C5C57">
          <w:rPr>
            <w:rFonts w:ascii="Times New Roman" w:hAnsi="Times New Roman"/>
            <w:noProof/>
            <w:webHidden/>
            <w:sz w:val="24"/>
            <w:szCs w:val="24"/>
          </w:rPr>
          <w:fldChar w:fldCharType="end"/>
        </w:r>
      </w:hyperlink>
    </w:p>
    <w:p w:rsidR="003C5C57" w:rsidRPr="003854A7" w:rsidRDefault="003C5C57">
      <w:pPr>
        <w:pStyle w:val="TOC3"/>
        <w:tabs>
          <w:tab w:val="right" w:leader="dot" w:pos="9350"/>
        </w:tabs>
        <w:rPr>
          <w:rFonts w:ascii="Times New Roman" w:eastAsia="Times New Roman" w:hAnsi="Times New Roman"/>
          <w:noProof/>
          <w:sz w:val="24"/>
          <w:szCs w:val="24"/>
        </w:rPr>
      </w:pPr>
      <w:hyperlink w:anchor="_Toc528427696" w:history="1">
        <w:r w:rsidRPr="003C5C57">
          <w:rPr>
            <w:rStyle w:val="Hyperlink"/>
            <w:rFonts w:ascii="Times New Roman" w:hAnsi="Times New Roman"/>
            <w:noProof/>
            <w:sz w:val="24"/>
            <w:szCs w:val="24"/>
          </w:rPr>
          <w:t>Customer:</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_Toc528427696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39</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97" w:history="1">
        <w:r w:rsidRPr="003C5C57">
          <w:rPr>
            <w:rStyle w:val="Hyperlink"/>
            <w:rFonts w:ascii="Times New Roman" w:hAnsi="Times New Roman"/>
            <w:noProof/>
            <w:sz w:val="24"/>
            <w:szCs w:val="24"/>
          </w:rPr>
          <w:t>Product Life Cycle costing (PLCC)</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_Toc528427697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39</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98" w:history="1">
        <w:r w:rsidRPr="003C5C57">
          <w:rPr>
            <w:rStyle w:val="Hyperlink"/>
            <w:rFonts w:ascii="Times New Roman" w:hAnsi="Times New Roman"/>
            <w:noProof/>
            <w:sz w:val="24"/>
            <w:szCs w:val="24"/>
          </w:rPr>
          <w:t>Target Costing (TC)</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_Toc528427698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39</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699" w:history="1">
        <w:r w:rsidRPr="003C5C57">
          <w:rPr>
            <w:rStyle w:val="Hyperlink"/>
            <w:rFonts w:ascii="Times New Roman" w:hAnsi="Times New Roman"/>
            <w:noProof/>
            <w:sz w:val="24"/>
            <w:szCs w:val="24"/>
          </w:rPr>
          <w:t>Throughput accounting (TA)</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_Toc528427699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40</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700" w:history="1">
        <w:r w:rsidRPr="003C5C57">
          <w:rPr>
            <w:rStyle w:val="Hyperlink"/>
            <w:rFonts w:ascii="Times New Roman" w:hAnsi="Times New Roman"/>
            <w:noProof/>
            <w:sz w:val="24"/>
            <w:szCs w:val="24"/>
          </w:rPr>
          <w:t>Value Chain Analysis (VCA)</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_Toc528427700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40</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701" w:history="1">
        <w:r w:rsidRPr="003C5C57">
          <w:rPr>
            <w:rStyle w:val="Hyperlink"/>
            <w:rFonts w:ascii="Times New Roman" w:hAnsi="Times New Roman"/>
            <w:noProof/>
            <w:sz w:val="24"/>
            <w:szCs w:val="24"/>
          </w:rPr>
          <w:t>Conclusion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_Toc528427701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40</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702" w:history="1">
        <w:r w:rsidRPr="003C5C57">
          <w:rPr>
            <w:rStyle w:val="Hyperlink"/>
            <w:rFonts w:ascii="Times New Roman" w:hAnsi="Times New Roman"/>
            <w:noProof/>
            <w:sz w:val="24"/>
            <w:szCs w:val="24"/>
          </w:rPr>
          <w:t>References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_Toc528427702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41</w:t>
        </w:r>
        <w:r w:rsidRPr="003C5C57">
          <w:rPr>
            <w:rFonts w:ascii="Times New Roman" w:hAnsi="Times New Roman"/>
            <w:noProof/>
            <w:webHidden/>
            <w:sz w:val="24"/>
            <w:szCs w:val="24"/>
          </w:rPr>
          <w:fldChar w:fldCharType="end"/>
        </w:r>
      </w:hyperlink>
    </w:p>
    <w:p w:rsidR="003C5C57" w:rsidRPr="003854A7" w:rsidRDefault="003C5C57">
      <w:pPr>
        <w:pStyle w:val="TOC1"/>
        <w:tabs>
          <w:tab w:val="right" w:leader="dot" w:pos="9350"/>
        </w:tabs>
        <w:rPr>
          <w:rFonts w:ascii="Times New Roman" w:eastAsia="Times New Roman" w:hAnsi="Times New Roman"/>
          <w:noProof/>
          <w:sz w:val="24"/>
          <w:szCs w:val="24"/>
        </w:rPr>
      </w:pPr>
      <w:hyperlink w:anchor="_Toc528427703" w:history="1">
        <w:r w:rsidRPr="003C5C57">
          <w:rPr>
            <w:rStyle w:val="Hyperlink"/>
            <w:rFonts w:ascii="Times New Roman" w:hAnsi="Times New Roman"/>
            <w:noProof/>
            <w:sz w:val="24"/>
            <w:szCs w:val="24"/>
          </w:rPr>
          <w:t>Task 4: Key Considerations on Financial Proposal for Significant Expenditure</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_Toc528427703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42</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704" w:history="1">
        <w:r w:rsidRPr="003C5C57">
          <w:rPr>
            <w:rStyle w:val="Hyperlink"/>
            <w:rFonts w:ascii="Times New Roman" w:hAnsi="Times New Roman"/>
            <w:noProof/>
            <w:sz w:val="24"/>
            <w:szCs w:val="24"/>
          </w:rPr>
          <w:t>Capital Budgeting (CB)</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_Toc528427704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42</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705" w:history="1">
        <w:r w:rsidRPr="003C5C57">
          <w:rPr>
            <w:rStyle w:val="Hyperlink"/>
            <w:rFonts w:ascii="Times New Roman" w:hAnsi="Times New Roman"/>
            <w:noProof/>
            <w:sz w:val="24"/>
            <w:szCs w:val="24"/>
          </w:rPr>
          <w:t>Net Present Value (NPV)</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_Toc528427705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42</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706" w:history="1">
        <w:r w:rsidRPr="003C5C57">
          <w:rPr>
            <w:rStyle w:val="Hyperlink"/>
            <w:rFonts w:ascii="Times New Roman" w:hAnsi="Times New Roman"/>
            <w:noProof/>
            <w:sz w:val="24"/>
            <w:szCs w:val="24"/>
          </w:rPr>
          <w:t>Internal Rate of Return (IRR)</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_Toc528427706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42</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707" w:history="1">
        <w:r w:rsidRPr="003C5C57">
          <w:rPr>
            <w:rStyle w:val="Hyperlink"/>
            <w:rFonts w:ascii="Times New Roman" w:hAnsi="Times New Roman"/>
            <w:noProof/>
            <w:sz w:val="24"/>
            <w:szCs w:val="24"/>
          </w:rPr>
          <w:t>Payback Period Model (PBP)</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_Toc528427707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43</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708" w:history="1">
        <w:r w:rsidRPr="003C5C57">
          <w:rPr>
            <w:rStyle w:val="Hyperlink"/>
            <w:rFonts w:ascii="Times New Roman" w:hAnsi="Times New Roman"/>
            <w:noProof/>
            <w:sz w:val="24"/>
            <w:szCs w:val="24"/>
          </w:rPr>
          <w:t>Accounting Rate of Return (ARR)</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_Toc528427708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43</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709" w:history="1">
        <w:r w:rsidRPr="003C5C57">
          <w:rPr>
            <w:rStyle w:val="Hyperlink"/>
            <w:rFonts w:ascii="Times New Roman" w:hAnsi="Times New Roman"/>
            <w:noProof/>
            <w:sz w:val="24"/>
            <w:szCs w:val="24"/>
          </w:rPr>
          <w:t>Conclusion</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_Toc528427709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43</w:t>
        </w:r>
        <w:r w:rsidRPr="003C5C57">
          <w:rPr>
            <w:rFonts w:ascii="Times New Roman" w:hAnsi="Times New Roman"/>
            <w:noProof/>
            <w:webHidden/>
            <w:sz w:val="24"/>
            <w:szCs w:val="24"/>
          </w:rPr>
          <w:fldChar w:fldCharType="end"/>
        </w:r>
      </w:hyperlink>
    </w:p>
    <w:p w:rsidR="003C5C57" w:rsidRPr="003854A7" w:rsidRDefault="003C5C57">
      <w:pPr>
        <w:pStyle w:val="TOC2"/>
        <w:tabs>
          <w:tab w:val="right" w:leader="dot" w:pos="9350"/>
        </w:tabs>
        <w:rPr>
          <w:rFonts w:ascii="Times New Roman" w:eastAsia="Times New Roman" w:hAnsi="Times New Roman"/>
          <w:noProof/>
          <w:sz w:val="24"/>
          <w:szCs w:val="24"/>
        </w:rPr>
      </w:pPr>
      <w:hyperlink w:anchor="_Toc528427710" w:history="1">
        <w:r w:rsidRPr="003C5C57">
          <w:rPr>
            <w:rStyle w:val="Hyperlink"/>
            <w:rFonts w:ascii="Times New Roman" w:hAnsi="Times New Roman"/>
            <w:noProof/>
            <w:sz w:val="24"/>
            <w:szCs w:val="24"/>
          </w:rPr>
          <w:t>References</w:t>
        </w:r>
        <w:r w:rsidRPr="003C5C57">
          <w:rPr>
            <w:rFonts w:ascii="Times New Roman" w:hAnsi="Times New Roman"/>
            <w:noProof/>
            <w:webHidden/>
            <w:sz w:val="24"/>
            <w:szCs w:val="24"/>
          </w:rPr>
          <w:tab/>
        </w:r>
        <w:r w:rsidRPr="003C5C57">
          <w:rPr>
            <w:rFonts w:ascii="Times New Roman" w:hAnsi="Times New Roman"/>
            <w:noProof/>
            <w:webHidden/>
            <w:sz w:val="24"/>
            <w:szCs w:val="24"/>
          </w:rPr>
          <w:fldChar w:fldCharType="begin"/>
        </w:r>
        <w:r w:rsidRPr="003C5C57">
          <w:rPr>
            <w:rFonts w:ascii="Times New Roman" w:hAnsi="Times New Roman"/>
            <w:noProof/>
            <w:webHidden/>
            <w:sz w:val="24"/>
            <w:szCs w:val="24"/>
          </w:rPr>
          <w:instrText xml:space="preserve"> PAGEREF _Toc528427710 \h </w:instrText>
        </w:r>
        <w:r w:rsidRPr="003C5C57">
          <w:rPr>
            <w:rFonts w:ascii="Times New Roman" w:hAnsi="Times New Roman"/>
            <w:noProof/>
            <w:webHidden/>
            <w:sz w:val="24"/>
            <w:szCs w:val="24"/>
          </w:rPr>
        </w:r>
        <w:r w:rsidRPr="003C5C57">
          <w:rPr>
            <w:rFonts w:ascii="Times New Roman" w:hAnsi="Times New Roman"/>
            <w:noProof/>
            <w:webHidden/>
            <w:sz w:val="24"/>
            <w:szCs w:val="24"/>
          </w:rPr>
          <w:fldChar w:fldCharType="separate"/>
        </w:r>
        <w:r w:rsidRPr="003C5C57">
          <w:rPr>
            <w:rFonts w:ascii="Times New Roman" w:hAnsi="Times New Roman"/>
            <w:noProof/>
            <w:webHidden/>
            <w:sz w:val="24"/>
            <w:szCs w:val="24"/>
          </w:rPr>
          <w:t>44</w:t>
        </w:r>
        <w:r w:rsidRPr="003C5C57">
          <w:rPr>
            <w:rFonts w:ascii="Times New Roman" w:hAnsi="Times New Roman"/>
            <w:noProof/>
            <w:webHidden/>
            <w:sz w:val="24"/>
            <w:szCs w:val="24"/>
          </w:rPr>
          <w:fldChar w:fldCharType="end"/>
        </w:r>
      </w:hyperlink>
    </w:p>
    <w:p w:rsidR="00BA6DE8" w:rsidRPr="003C5C57" w:rsidRDefault="00BA6DE8" w:rsidP="00BA6DE8">
      <w:pPr>
        <w:spacing w:line="480" w:lineRule="auto"/>
        <w:contextualSpacing/>
        <w:rPr>
          <w:rFonts w:ascii="Times New Roman" w:hAnsi="Times New Roman"/>
          <w:sz w:val="24"/>
          <w:szCs w:val="24"/>
        </w:rPr>
      </w:pPr>
      <w:r w:rsidRPr="003C5C57">
        <w:rPr>
          <w:rFonts w:ascii="Times New Roman" w:hAnsi="Times New Roman"/>
          <w:b/>
          <w:bCs/>
          <w:noProof/>
          <w:sz w:val="24"/>
          <w:szCs w:val="24"/>
        </w:rPr>
        <w:fldChar w:fldCharType="end"/>
      </w:r>
    </w:p>
    <w:p w:rsidR="00BA6DE8" w:rsidRDefault="00BA6DE8" w:rsidP="00BA6DE8">
      <w:pPr>
        <w:pStyle w:val="Heading1"/>
        <w:spacing w:line="480" w:lineRule="auto"/>
        <w:contextualSpacing/>
        <w:rPr>
          <w:rFonts w:ascii="Times New Roman" w:hAnsi="Times New Roman"/>
          <w:sz w:val="24"/>
          <w:szCs w:val="24"/>
        </w:rPr>
      </w:pPr>
    </w:p>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Pr="003C5C57" w:rsidRDefault="003C5C57" w:rsidP="003C5C57"/>
    <w:p w:rsidR="00CD457C" w:rsidRPr="003C5C57" w:rsidRDefault="00CD457C" w:rsidP="00BA6DE8">
      <w:pPr>
        <w:pStyle w:val="Heading1"/>
        <w:spacing w:line="480" w:lineRule="auto"/>
        <w:contextualSpacing/>
        <w:rPr>
          <w:rFonts w:ascii="Times New Roman" w:hAnsi="Times New Roman"/>
          <w:sz w:val="24"/>
          <w:szCs w:val="24"/>
        </w:rPr>
      </w:pPr>
      <w:bookmarkStart w:id="1" w:name="_Toc528427639"/>
      <w:r w:rsidRPr="003C5C57">
        <w:rPr>
          <w:rFonts w:ascii="Times New Roman" w:hAnsi="Times New Roman"/>
          <w:sz w:val="24"/>
          <w:szCs w:val="24"/>
        </w:rPr>
        <w:lastRenderedPageBreak/>
        <w:t>Task 1: Financial Analysis of Uniliver Group</w:t>
      </w:r>
      <w:bookmarkEnd w:id="1"/>
    </w:p>
    <w:p w:rsidR="00BF3B08" w:rsidRPr="003C5C57" w:rsidRDefault="00BF3B08" w:rsidP="00BA6DE8">
      <w:pPr>
        <w:pStyle w:val="Heading2"/>
        <w:spacing w:line="480" w:lineRule="auto"/>
        <w:contextualSpacing/>
        <w:rPr>
          <w:rFonts w:ascii="Times New Roman" w:hAnsi="Times New Roman"/>
          <w:sz w:val="24"/>
          <w:szCs w:val="24"/>
        </w:rPr>
      </w:pPr>
      <w:bookmarkStart w:id="2" w:name="_Toc528427640"/>
      <w:r w:rsidRPr="003C5C57">
        <w:rPr>
          <w:rFonts w:ascii="Times New Roman" w:hAnsi="Times New Roman"/>
          <w:sz w:val="24"/>
          <w:szCs w:val="24"/>
        </w:rPr>
        <w:t>Introduction to Uniliver and Competitors</w:t>
      </w:r>
      <w:bookmarkEnd w:id="2"/>
      <w:r w:rsidRPr="003C5C57">
        <w:rPr>
          <w:rFonts w:ascii="Times New Roman" w:hAnsi="Times New Roman"/>
          <w:sz w:val="24"/>
          <w:szCs w:val="24"/>
        </w:rPr>
        <w:t xml:space="preserve"> </w:t>
      </w:r>
    </w:p>
    <w:p w:rsidR="00C20EEF" w:rsidRPr="003C5C57" w:rsidRDefault="00C20EEF" w:rsidP="00BA6DE8">
      <w:pPr>
        <w:spacing w:after="0" w:line="480" w:lineRule="auto"/>
        <w:ind w:firstLine="720"/>
        <w:contextualSpacing/>
        <w:jc w:val="both"/>
        <w:rPr>
          <w:rFonts w:ascii="Times New Roman" w:hAnsi="Times New Roman"/>
          <w:sz w:val="24"/>
          <w:szCs w:val="24"/>
        </w:rPr>
      </w:pPr>
    </w:p>
    <w:p w:rsidR="00BF3B08" w:rsidRPr="003C5C57" w:rsidRDefault="008558E1"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noProof/>
          <w:sz w:val="24"/>
          <w:szCs w:val="24"/>
        </w:rPr>
        <w:drawing>
          <wp:inline distT="0" distB="0" distL="0" distR="0">
            <wp:extent cx="1411605" cy="129476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1605" cy="1294765"/>
                    </a:xfrm>
                    <a:prstGeom prst="rect">
                      <a:avLst/>
                    </a:prstGeom>
                    <a:noFill/>
                    <a:ln>
                      <a:noFill/>
                    </a:ln>
                  </pic:spPr>
                </pic:pic>
              </a:graphicData>
            </a:graphic>
          </wp:inline>
        </w:drawing>
      </w:r>
      <w:r w:rsidR="00BF3B08" w:rsidRPr="003C5C57">
        <w:rPr>
          <w:rFonts w:ascii="Times New Roman" w:hAnsi="Times New Roman"/>
          <w:sz w:val="24"/>
          <w:szCs w:val="24"/>
        </w:rPr>
        <w:t xml:space="preserve">Uniliver was established in the year 1930. It </w:t>
      </w:r>
      <w:r w:rsidR="006E155D" w:rsidRPr="003C5C57">
        <w:rPr>
          <w:rFonts w:ascii="Times New Roman" w:hAnsi="Times New Roman"/>
          <w:sz w:val="24"/>
          <w:szCs w:val="24"/>
        </w:rPr>
        <w:t>is</w:t>
      </w:r>
      <w:r w:rsidR="00BF3B08" w:rsidRPr="003C5C57">
        <w:rPr>
          <w:rFonts w:ascii="Times New Roman" w:hAnsi="Times New Roman"/>
          <w:sz w:val="24"/>
          <w:szCs w:val="24"/>
        </w:rPr>
        <w:t xml:space="preserve"> headquarter</w:t>
      </w:r>
      <w:r w:rsidR="006E155D" w:rsidRPr="003C5C57">
        <w:rPr>
          <w:rFonts w:ascii="Times New Roman" w:hAnsi="Times New Roman"/>
          <w:sz w:val="24"/>
          <w:szCs w:val="24"/>
        </w:rPr>
        <w:t>ed</w:t>
      </w:r>
      <w:r w:rsidR="00BF3B08" w:rsidRPr="003C5C57">
        <w:rPr>
          <w:rFonts w:ascii="Times New Roman" w:hAnsi="Times New Roman"/>
          <w:sz w:val="24"/>
          <w:szCs w:val="24"/>
        </w:rPr>
        <w:t xml:space="preserve"> in Rotterdam in Netherlands.   It has the biggest global presence with its product portfolio being categorized as personal care, foods, home care and refreshments. Consumers of Uniliver products have improved their lives crossways 190 countries internationally and it continues to expand its operations. Uniliver is operating in over 100 countries. </w:t>
      </w:r>
      <w:r w:rsidR="006E155D" w:rsidRPr="003C5C57">
        <w:rPr>
          <w:rFonts w:ascii="Times New Roman" w:hAnsi="Times New Roman"/>
          <w:sz w:val="24"/>
          <w:szCs w:val="24"/>
        </w:rPr>
        <w:t xml:space="preserve">It has acquired several brands in the recent past. This has led to increased business diversification and performance improvement. Uniliver has over 400 brands of which 13 are attributed to sales of over 1B. The performance culture of Uniliver uses a 4G growth model. This shows consistence, profitability, responsible growth as well as competitiveness. Uniliver thrives stiff competition internationally and global with the FMCG industry. However, Uniliver has maintained accelerating growth, declining footprints and environment effect integrated into commercial goal making it an industry leader. The main international competitors of Uniliver are as discussed in the following sub-headings: </w:t>
      </w:r>
    </w:p>
    <w:p w:rsidR="00616532" w:rsidRPr="003C5C57" w:rsidRDefault="008558E1" w:rsidP="00BA6DE8">
      <w:pPr>
        <w:spacing w:after="0" w:line="480" w:lineRule="auto"/>
        <w:contextualSpacing/>
        <w:jc w:val="both"/>
        <w:rPr>
          <w:rFonts w:ascii="Times New Roman" w:hAnsi="Times New Roman"/>
          <w:sz w:val="24"/>
          <w:szCs w:val="24"/>
        </w:rPr>
      </w:pPr>
      <w:r w:rsidRPr="003C5C57">
        <w:rPr>
          <w:rFonts w:ascii="Times New Roman" w:hAnsi="Times New Roman"/>
          <w:noProof/>
          <w:sz w:val="24"/>
          <w:szCs w:val="24"/>
        </w:rPr>
        <w:drawing>
          <wp:inline distT="0" distB="0" distL="0" distR="0">
            <wp:extent cx="1419225" cy="95123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951230"/>
                    </a:xfrm>
                    <a:prstGeom prst="rect">
                      <a:avLst/>
                    </a:prstGeom>
                    <a:noFill/>
                    <a:ln>
                      <a:noFill/>
                    </a:ln>
                  </pic:spPr>
                </pic:pic>
              </a:graphicData>
            </a:graphic>
          </wp:inline>
        </w:drawing>
      </w:r>
      <w:r w:rsidR="00FE199E" w:rsidRPr="003C5C57">
        <w:rPr>
          <w:rFonts w:ascii="Times New Roman" w:hAnsi="Times New Roman"/>
          <w:sz w:val="24"/>
          <w:szCs w:val="24"/>
        </w:rPr>
        <w:tab/>
        <w:t xml:space="preserve">P&amp;G is an American MNC dealing in consumer goods. It is headquartered in downtown, Cincinnati, Ohio. The company was established in the year 1837 by Procter, British American and Gamble, Irish American. P&amp;G specializes in a broad array of </w:t>
      </w:r>
      <w:r w:rsidR="00FE199E" w:rsidRPr="003C5C57">
        <w:rPr>
          <w:rFonts w:ascii="Times New Roman" w:hAnsi="Times New Roman"/>
          <w:sz w:val="24"/>
          <w:szCs w:val="24"/>
        </w:rPr>
        <w:lastRenderedPageBreak/>
        <w:t xml:space="preserve">personal health or consumer health, hygiene and personal care products. The P&amp;G products remain organized into various segment like </w:t>
      </w:r>
      <w:r w:rsidR="00471C17" w:rsidRPr="003C5C57">
        <w:rPr>
          <w:rFonts w:ascii="Times New Roman" w:hAnsi="Times New Roman"/>
          <w:sz w:val="24"/>
          <w:szCs w:val="24"/>
        </w:rPr>
        <w:t xml:space="preserve">grooming, beauty, healthcare, and fabric care, and baby, feminine and family care. </w:t>
      </w:r>
    </w:p>
    <w:p w:rsidR="000E7A45" w:rsidRPr="003C5C57" w:rsidRDefault="008558E1" w:rsidP="00BA6DE8">
      <w:pPr>
        <w:spacing w:after="0" w:line="480" w:lineRule="auto"/>
        <w:contextualSpacing/>
        <w:jc w:val="both"/>
        <w:rPr>
          <w:rFonts w:ascii="Times New Roman" w:hAnsi="Times New Roman"/>
          <w:sz w:val="24"/>
          <w:szCs w:val="24"/>
        </w:rPr>
      </w:pPr>
      <w:r w:rsidRPr="003C5C57">
        <w:rPr>
          <w:rFonts w:ascii="Times New Roman" w:hAnsi="Times New Roman"/>
          <w:noProof/>
          <w:sz w:val="24"/>
          <w:szCs w:val="24"/>
        </w:rPr>
        <w:drawing>
          <wp:inline distT="0" distB="0" distL="0" distR="0">
            <wp:extent cx="1492250" cy="116332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2250" cy="1163320"/>
                    </a:xfrm>
                    <a:prstGeom prst="rect">
                      <a:avLst/>
                    </a:prstGeom>
                    <a:noFill/>
                    <a:ln>
                      <a:noFill/>
                    </a:ln>
                  </pic:spPr>
                </pic:pic>
              </a:graphicData>
            </a:graphic>
          </wp:inline>
        </w:drawing>
      </w:r>
      <w:r w:rsidR="000E7A45" w:rsidRPr="003C5C57">
        <w:rPr>
          <w:rFonts w:ascii="Times New Roman" w:hAnsi="Times New Roman"/>
          <w:sz w:val="24"/>
          <w:szCs w:val="24"/>
        </w:rPr>
        <w:tab/>
        <w:t xml:space="preserve">It is an American MNC dealing in personal care and mostly produces paper-oriented consumer products. </w:t>
      </w:r>
      <w:r w:rsidR="00F047D1" w:rsidRPr="003C5C57">
        <w:rPr>
          <w:rFonts w:ascii="Times New Roman" w:hAnsi="Times New Roman"/>
          <w:sz w:val="24"/>
          <w:szCs w:val="24"/>
        </w:rPr>
        <w:t xml:space="preserve">The brands for the company are tissue paper, hygiene products, toilet paper, utility wipes, scientific cleaning wipes, baby wipes and diapers. It was established in the year 1872 in Neenah, Wisconsin. It has since been based in Irving, Texas from 1985. </w:t>
      </w:r>
    </w:p>
    <w:p w:rsidR="00F047D1" w:rsidRPr="003C5C57" w:rsidRDefault="008558E1" w:rsidP="00BA6DE8">
      <w:pPr>
        <w:spacing w:after="0" w:line="480" w:lineRule="auto"/>
        <w:contextualSpacing/>
        <w:jc w:val="both"/>
        <w:rPr>
          <w:rFonts w:ascii="Times New Roman" w:hAnsi="Times New Roman"/>
          <w:b/>
          <w:sz w:val="24"/>
          <w:szCs w:val="24"/>
        </w:rPr>
      </w:pPr>
      <w:r w:rsidRPr="003C5C57">
        <w:rPr>
          <w:rFonts w:ascii="Times New Roman" w:hAnsi="Times New Roman"/>
          <w:noProof/>
          <w:sz w:val="24"/>
          <w:szCs w:val="24"/>
        </w:rPr>
        <w:drawing>
          <wp:inline distT="0" distB="0" distL="0" distR="0">
            <wp:extent cx="2267585" cy="76073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7585" cy="760730"/>
                    </a:xfrm>
                    <a:prstGeom prst="rect">
                      <a:avLst/>
                    </a:prstGeom>
                    <a:noFill/>
                    <a:ln>
                      <a:noFill/>
                    </a:ln>
                  </pic:spPr>
                </pic:pic>
              </a:graphicData>
            </a:graphic>
          </wp:inline>
        </w:drawing>
      </w:r>
      <w:r w:rsidR="00C20EEF" w:rsidRPr="003C5C57">
        <w:rPr>
          <w:rFonts w:ascii="Times New Roman" w:hAnsi="Times New Roman"/>
          <w:b/>
          <w:sz w:val="24"/>
          <w:szCs w:val="24"/>
        </w:rPr>
        <w:t xml:space="preserve"> </w:t>
      </w:r>
      <w:r w:rsidR="009B5ED4" w:rsidRPr="003C5C57">
        <w:rPr>
          <w:rFonts w:ascii="Times New Roman" w:hAnsi="Times New Roman"/>
          <w:sz w:val="24"/>
          <w:szCs w:val="24"/>
        </w:rPr>
        <w:t>It is an American MNC that manufactures food and headquartered in Battle Creek, Michigan, US.  Kellogg Company brane name is Kellogg’s. It produces convenience food and cereal. These include crackers, toaster pastries, and cookies. The company undertakes the marketing of its products by array of well-known brands. The brands are corn flakes, Cheez-it and Keebler. The company’s mission statement remains focuses on nourishing families to enable them flourish and thrive.  It manufactures its products in eighteen countries and markets them in more than 180 countries. Its biggest factory is fo</w:t>
      </w:r>
      <w:r w:rsidR="00BC4CFE" w:rsidRPr="003C5C57">
        <w:rPr>
          <w:rFonts w:ascii="Times New Roman" w:hAnsi="Times New Roman"/>
          <w:sz w:val="24"/>
          <w:szCs w:val="24"/>
        </w:rPr>
        <w:t xml:space="preserve">und in Trafford Park, Trafford in </w:t>
      </w:r>
      <w:r w:rsidR="009B5ED4" w:rsidRPr="003C5C57">
        <w:rPr>
          <w:rFonts w:ascii="Times New Roman" w:hAnsi="Times New Roman"/>
          <w:sz w:val="24"/>
          <w:szCs w:val="24"/>
        </w:rPr>
        <w:t xml:space="preserve">Greater Manchester, UK. </w:t>
      </w:r>
      <w:r w:rsidR="00BC4CFE" w:rsidRPr="003C5C57">
        <w:rPr>
          <w:rFonts w:ascii="Times New Roman" w:hAnsi="Times New Roman"/>
          <w:sz w:val="24"/>
          <w:szCs w:val="24"/>
        </w:rPr>
        <w:t xml:space="preserve">This is where its European headquarter is situated. </w:t>
      </w:r>
    </w:p>
    <w:p w:rsidR="00DF5BB1" w:rsidRPr="003C5C57" w:rsidRDefault="008558E1" w:rsidP="00BA6DE8">
      <w:pPr>
        <w:spacing w:after="0" w:line="480" w:lineRule="auto"/>
        <w:contextualSpacing/>
        <w:jc w:val="both"/>
        <w:rPr>
          <w:rFonts w:ascii="Times New Roman" w:hAnsi="Times New Roman"/>
          <w:sz w:val="24"/>
          <w:szCs w:val="24"/>
        </w:rPr>
      </w:pPr>
      <w:r w:rsidRPr="003C5C57">
        <w:rPr>
          <w:rFonts w:ascii="Times New Roman" w:hAnsi="Times New Roman"/>
          <w:noProof/>
          <w:sz w:val="24"/>
          <w:szCs w:val="24"/>
        </w:rPr>
        <w:lastRenderedPageBreak/>
        <w:drawing>
          <wp:inline distT="0" distB="0" distL="0" distR="0">
            <wp:extent cx="1770380" cy="81915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0380" cy="819150"/>
                    </a:xfrm>
                    <a:prstGeom prst="rect">
                      <a:avLst/>
                    </a:prstGeom>
                    <a:noFill/>
                    <a:ln>
                      <a:noFill/>
                    </a:ln>
                  </pic:spPr>
                </pic:pic>
              </a:graphicData>
            </a:graphic>
          </wp:inline>
        </w:drawing>
      </w:r>
      <w:r w:rsidR="00BC4CFE" w:rsidRPr="003C5C57">
        <w:rPr>
          <w:rFonts w:ascii="Times New Roman" w:hAnsi="Times New Roman"/>
          <w:sz w:val="24"/>
          <w:szCs w:val="24"/>
        </w:rPr>
        <w:t>General Mills, Inc. is American MNC which manufactures and markets branded consumer food foods and sold via retail stores. The Company’s headquarter is situat</w:t>
      </w:r>
      <w:r w:rsidR="00C20EEF" w:rsidRPr="003C5C57">
        <w:rPr>
          <w:rFonts w:ascii="Times New Roman" w:hAnsi="Times New Roman"/>
          <w:sz w:val="24"/>
          <w:szCs w:val="24"/>
        </w:rPr>
        <w:t xml:space="preserve">ed in Golden Valley, Minnesota, Minneapolis’ suburb. The firm markets various popular North American brands. These brands are Betty Croker, Old El Paso, Lucky Charms, Yoplait, Totino’s and many others. The company’s </w:t>
      </w:r>
      <w:r w:rsidR="00157E53" w:rsidRPr="003C5C57">
        <w:rPr>
          <w:rFonts w:ascii="Times New Roman" w:hAnsi="Times New Roman"/>
          <w:sz w:val="24"/>
          <w:szCs w:val="24"/>
        </w:rPr>
        <w:t>portfolio is</w:t>
      </w:r>
      <w:r w:rsidR="00C20EEF" w:rsidRPr="003C5C57">
        <w:rPr>
          <w:rFonts w:ascii="Times New Roman" w:hAnsi="Times New Roman"/>
          <w:sz w:val="24"/>
          <w:szCs w:val="24"/>
        </w:rPr>
        <w:t xml:space="preserve"> over 89 other top United States brands and several classification leaders globally. </w:t>
      </w:r>
    </w:p>
    <w:p w:rsidR="00BE42EC" w:rsidRPr="003C5C57" w:rsidRDefault="00BE42EC" w:rsidP="00BA6DE8">
      <w:pPr>
        <w:pStyle w:val="Heading2"/>
        <w:spacing w:line="480" w:lineRule="auto"/>
        <w:contextualSpacing/>
        <w:rPr>
          <w:rFonts w:ascii="Times New Roman" w:hAnsi="Times New Roman"/>
          <w:sz w:val="24"/>
          <w:szCs w:val="24"/>
        </w:rPr>
      </w:pPr>
      <w:bookmarkStart w:id="3" w:name="_Toc528427641"/>
      <w:r w:rsidRPr="003C5C57">
        <w:rPr>
          <w:rFonts w:ascii="Times New Roman" w:hAnsi="Times New Roman"/>
          <w:sz w:val="24"/>
          <w:szCs w:val="24"/>
        </w:rPr>
        <w:t>Importance of Ratio Analysis:</w:t>
      </w:r>
      <w:bookmarkEnd w:id="3"/>
      <w:r w:rsidRPr="003C5C57">
        <w:rPr>
          <w:rFonts w:ascii="Times New Roman" w:hAnsi="Times New Roman"/>
          <w:sz w:val="24"/>
          <w:szCs w:val="24"/>
        </w:rPr>
        <w:t xml:space="preserve"> </w:t>
      </w:r>
    </w:p>
    <w:p w:rsidR="002E0779" w:rsidRPr="003C5C57" w:rsidRDefault="00BE42EC"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Ratio analysis remains a significant technique or tool when analyzing the financial performance of the comp company</w:t>
      </w:r>
      <w:r w:rsidR="00937D6D" w:rsidRPr="003C5C57">
        <w:rPr>
          <w:rFonts w:ascii="Times New Roman" w:hAnsi="Times New Roman"/>
          <w:sz w:val="24"/>
          <w:szCs w:val="24"/>
        </w:rPr>
        <w:t xml:space="preserve"> (</w:t>
      </w:r>
      <w:r w:rsidR="00937D6D" w:rsidRPr="003C5C57">
        <w:rPr>
          <w:rFonts w:ascii="Times New Roman" w:hAnsi="Times New Roman"/>
          <w:color w:val="222222"/>
          <w:sz w:val="24"/>
          <w:szCs w:val="24"/>
          <w:shd w:val="clear" w:color="auto" w:fill="FFFFFF"/>
        </w:rPr>
        <w:t>Weygandt, Kimmel &amp; Kieso, 2015</w:t>
      </w:r>
      <w:r w:rsidR="00937D6D" w:rsidRPr="003C5C57">
        <w:rPr>
          <w:rFonts w:ascii="Times New Roman" w:hAnsi="Times New Roman"/>
          <w:sz w:val="24"/>
          <w:szCs w:val="24"/>
        </w:rPr>
        <w:t>)</w:t>
      </w:r>
      <w:r w:rsidRPr="003C5C57">
        <w:rPr>
          <w:rFonts w:ascii="Times New Roman" w:hAnsi="Times New Roman"/>
          <w:sz w:val="24"/>
          <w:szCs w:val="24"/>
        </w:rPr>
        <w:t xml:space="preserve">. It is attributable various significant advantages. </w:t>
      </w:r>
    </w:p>
    <w:p w:rsidR="002E0779" w:rsidRPr="003C5C57" w:rsidRDefault="002E0779" w:rsidP="00BA6DE8">
      <w:pPr>
        <w:pStyle w:val="Heading3"/>
        <w:spacing w:line="480" w:lineRule="auto"/>
        <w:contextualSpacing/>
        <w:rPr>
          <w:rFonts w:ascii="Times New Roman" w:hAnsi="Times New Roman"/>
        </w:rPr>
      </w:pPr>
      <w:bookmarkStart w:id="4" w:name="_Toc528427642"/>
      <w:r w:rsidRPr="003C5C57">
        <w:rPr>
          <w:rFonts w:ascii="Times New Roman" w:hAnsi="Times New Roman"/>
        </w:rPr>
        <w:t>Analysis of Financial Statements:</w:t>
      </w:r>
      <w:bookmarkEnd w:id="4"/>
      <w:r w:rsidRPr="003C5C57">
        <w:rPr>
          <w:rFonts w:ascii="Times New Roman" w:hAnsi="Times New Roman"/>
        </w:rPr>
        <w:t xml:space="preserve"> </w:t>
      </w:r>
    </w:p>
    <w:p w:rsidR="002E0779" w:rsidRPr="003C5C57" w:rsidRDefault="00BE42EC"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It is helpful in analyzing the financial statements. Ration analysis remains a significant tool of analyzing financial statements. Accounting ration stay valuable when understanding the company’s financial position. The different consumers of financial statement information like investors, bankers, management and creditors apply this ration when analyzing the company’s financial position for the purposes of decision making.</w:t>
      </w:r>
    </w:p>
    <w:p w:rsidR="002E0779" w:rsidRPr="003C5C57" w:rsidRDefault="002E0779" w:rsidP="00BA6DE8">
      <w:pPr>
        <w:pStyle w:val="Heading3"/>
        <w:spacing w:line="480" w:lineRule="auto"/>
        <w:contextualSpacing/>
        <w:rPr>
          <w:rFonts w:ascii="Times New Roman" w:hAnsi="Times New Roman"/>
        </w:rPr>
      </w:pPr>
      <w:bookmarkStart w:id="5" w:name="_Toc528427643"/>
      <w:r w:rsidRPr="003C5C57">
        <w:rPr>
          <w:rFonts w:ascii="Times New Roman" w:hAnsi="Times New Roman"/>
        </w:rPr>
        <w:t>Efficiency Judgment:</w:t>
      </w:r>
      <w:bookmarkEnd w:id="5"/>
      <w:r w:rsidRPr="003C5C57">
        <w:rPr>
          <w:rFonts w:ascii="Times New Roman" w:hAnsi="Times New Roman"/>
        </w:rPr>
        <w:t xml:space="preserve"> </w:t>
      </w:r>
    </w:p>
    <w:p w:rsidR="002E0779" w:rsidRPr="003C5C57" w:rsidRDefault="002E0779"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Accounting ratios derive from ratio analysis remain key in judging the efficiency of the company based on its management and operations. Such ratios are helpful to judge how well a firm has managed to use its assets to earn profits. </w:t>
      </w:r>
    </w:p>
    <w:p w:rsidR="002E0779" w:rsidRPr="003C5C57" w:rsidRDefault="002E0779" w:rsidP="00BA6DE8">
      <w:pPr>
        <w:pStyle w:val="Heading3"/>
        <w:spacing w:line="480" w:lineRule="auto"/>
        <w:contextualSpacing/>
        <w:rPr>
          <w:rFonts w:ascii="Times New Roman" w:hAnsi="Times New Roman"/>
        </w:rPr>
      </w:pPr>
      <w:bookmarkStart w:id="6" w:name="_Toc528427644"/>
      <w:r w:rsidRPr="003C5C57">
        <w:rPr>
          <w:rFonts w:ascii="Times New Roman" w:hAnsi="Times New Roman"/>
        </w:rPr>
        <w:lastRenderedPageBreak/>
        <w:t>Weakness Identification:</w:t>
      </w:r>
      <w:bookmarkEnd w:id="6"/>
      <w:r w:rsidRPr="003C5C57">
        <w:rPr>
          <w:rFonts w:ascii="Times New Roman" w:hAnsi="Times New Roman"/>
        </w:rPr>
        <w:t xml:space="preserve"> </w:t>
      </w:r>
    </w:p>
    <w:p w:rsidR="00D542BF" w:rsidRPr="003C5C57" w:rsidRDefault="002E0779"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Accounting ratios can as well be employed to acknowledge the weakness of operations in the company despite having a quite good general performance. Management can subsequently pay much attention to the identified weaknesses and execute remedial actions t</w:t>
      </w:r>
      <w:r w:rsidR="00D542BF" w:rsidRPr="003C5C57">
        <w:rPr>
          <w:rFonts w:ascii="Times New Roman" w:hAnsi="Times New Roman"/>
          <w:sz w:val="24"/>
          <w:szCs w:val="24"/>
        </w:rPr>
        <w:t xml:space="preserve">o override these weaknesses. </w:t>
      </w:r>
    </w:p>
    <w:p w:rsidR="00D542BF" w:rsidRPr="003C5C57" w:rsidRDefault="00D542BF" w:rsidP="00BA6DE8">
      <w:pPr>
        <w:pStyle w:val="Heading3"/>
        <w:spacing w:line="480" w:lineRule="auto"/>
        <w:contextualSpacing/>
        <w:rPr>
          <w:rFonts w:ascii="Times New Roman" w:hAnsi="Times New Roman"/>
        </w:rPr>
      </w:pPr>
      <w:bookmarkStart w:id="7" w:name="_Toc528427645"/>
      <w:r w:rsidRPr="003C5C57">
        <w:rPr>
          <w:rFonts w:ascii="Times New Roman" w:hAnsi="Times New Roman"/>
        </w:rPr>
        <w:t>Plan Formulation:</w:t>
      </w:r>
      <w:bookmarkEnd w:id="7"/>
      <w:r w:rsidRPr="003C5C57">
        <w:rPr>
          <w:rFonts w:ascii="Times New Roman" w:hAnsi="Times New Roman"/>
        </w:rPr>
        <w:t xml:space="preserve"> </w:t>
      </w:r>
    </w:p>
    <w:p w:rsidR="00D97414" w:rsidRPr="003C5C57" w:rsidRDefault="00D542BF"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Even though accounting ratios are utilized in analyzing the past financial performance of a company, these ratios are also useful in establishing future company trends of its financial performance. As a consequent, the ratio analysis is helpful in the formulation of the future plans of the Company. </w:t>
      </w:r>
    </w:p>
    <w:p w:rsidR="00D97414" w:rsidRPr="003C5C57" w:rsidRDefault="00D14F4B" w:rsidP="00BA6DE8">
      <w:pPr>
        <w:pStyle w:val="Heading3"/>
        <w:spacing w:line="480" w:lineRule="auto"/>
        <w:contextualSpacing/>
        <w:rPr>
          <w:rFonts w:ascii="Times New Roman" w:hAnsi="Times New Roman"/>
        </w:rPr>
      </w:pPr>
      <w:bookmarkStart w:id="8" w:name="_Toc528427646"/>
      <w:r w:rsidRPr="003C5C57">
        <w:rPr>
          <w:rFonts w:ascii="Times New Roman" w:hAnsi="Times New Roman"/>
        </w:rPr>
        <w:t>Performance</w:t>
      </w:r>
      <w:r w:rsidR="00D97414" w:rsidRPr="003C5C57">
        <w:rPr>
          <w:rFonts w:ascii="Times New Roman" w:hAnsi="Times New Roman"/>
        </w:rPr>
        <w:t xml:space="preserve"> Comparison:</w:t>
      </w:r>
      <w:bookmarkEnd w:id="8"/>
      <w:r w:rsidR="00D97414" w:rsidRPr="003C5C57">
        <w:rPr>
          <w:rFonts w:ascii="Times New Roman" w:hAnsi="Times New Roman"/>
        </w:rPr>
        <w:t xml:space="preserve"> </w:t>
      </w:r>
    </w:p>
    <w:p w:rsidR="00D97414" w:rsidRPr="003C5C57" w:rsidRDefault="00D9741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It is imperative for a firm to have knowledge of how well it is performing over a period and as contrasted or compared to other rivals in the sector of identical nature. Moreover, it is essential to have knowledge on how the company’s diverse divisions are performing individually in different periods. Therefore, analysis of the company ratios are enablers of such comparisons. </w:t>
      </w:r>
    </w:p>
    <w:p w:rsidR="00D97414" w:rsidRPr="003C5C57" w:rsidRDefault="00D97414" w:rsidP="00BA6DE8">
      <w:pPr>
        <w:pStyle w:val="Heading3"/>
        <w:spacing w:line="480" w:lineRule="auto"/>
        <w:contextualSpacing/>
        <w:rPr>
          <w:rFonts w:ascii="Times New Roman" w:hAnsi="Times New Roman"/>
        </w:rPr>
      </w:pPr>
      <w:bookmarkStart w:id="9" w:name="_Toc528427647"/>
      <w:r w:rsidRPr="003C5C57">
        <w:rPr>
          <w:rFonts w:ascii="Times New Roman" w:hAnsi="Times New Roman"/>
        </w:rPr>
        <w:t>Versatility and Usefulness:</w:t>
      </w:r>
      <w:bookmarkEnd w:id="9"/>
      <w:r w:rsidRPr="003C5C57">
        <w:rPr>
          <w:rFonts w:ascii="Times New Roman" w:hAnsi="Times New Roman"/>
        </w:rPr>
        <w:t xml:space="preserve"> </w:t>
      </w:r>
    </w:p>
    <w:p w:rsidR="00D97414" w:rsidRPr="003C5C57" w:rsidRDefault="00D9741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analysis of ratios remain a crucial tool for quantitative analysis. Among the utmost significant functions of ratio lies in their respective capacity to serve as indicators of lagging in the identification of both negative and positive financial trends. The information provided by trend analysis enables the company to develop and implement ongoing financial company plans and, where essential, make effective course corrections to short-run financial plans. Analysis of ratios further provided means of comparing the financial position of the company verses other </w:t>
      </w:r>
      <w:r w:rsidRPr="003C5C57">
        <w:rPr>
          <w:rFonts w:ascii="Times New Roman" w:hAnsi="Times New Roman"/>
          <w:sz w:val="24"/>
          <w:szCs w:val="24"/>
        </w:rPr>
        <w:lastRenderedPageBreak/>
        <w:t xml:space="preserve">competitors within the sector or even between one’s company and companies in different sectors. The sheer numbers of existing financial ratios make it increasingly significant to study and select ratios most applicable to the company. </w:t>
      </w:r>
    </w:p>
    <w:p w:rsidR="00D97414" w:rsidRPr="003C5C57" w:rsidRDefault="00D97414" w:rsidP="00BA6DE8">
      <w:pPr>
        <w:pStyle w:val="Heading3"/>
        <w:spacing w:line="480" w:lineRule="auto"/>
        <w:contextualSpacing/>
        <w:rPr>
          <w:rFonts w:ascii="Times New Roman" w:hAnsi="Times New Roman"/>
        </w:rPr>
      </w:pPr>
      <w:bookmarkStart w:id="10" w:name="_Toc528427648"/>
      <w:r w:rsidRPr="003C5C57">
        <w:rPr>
          <w:rFonts w:ascii="Times New Roman" w:hAnsi="Times New Roman"/>
        </w:rPr>
        <w:t>Common Size Comparison Ratios:</w:t>
      </w:r>
      <w:bookmarkEnd w:id="10"/>
      <w:r w:rsidRPr="003C5C57">
        <w:rPr>
          <w:rFonts w:ascii="Times New Roman" w:hAnsi="Times New Roman"/>
        </w:rPr>
        <w:t xml:space="preserve"> </w:t>
      </w:r>
    </w:p>
    <w:p w:rsidR="001E05F3" w:rsidRPr="003C5C57" w:rsidRDefault="00D9741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common size ratios of the balance sheet remain imperative for comparing the liabilities and assets. Such financial ratios are emphasizing </w:t>
      </w:r>
      <w:r w:rsidR="001E05F3" w:rsidRPr="003C5C57">
        <w:rPr>
          <w:rFonts w:ascii="Times New Roman" w:hAnsi="Times New Roman"/>
          <w:sz w:val="24"/>
          <w:szCs w:val="24"/>
        </w:rPr>
        <w:t xml:space="preserve">the computation of every asset on the balance sheet as a proportion of the total assets and every liability as a proportion of total liabilities in addition to the equity of the owner. Computing and comparing these common size ratios by a firm for a corresponding periods of reporting in two years in a row assists in the identification of desired trends as declining cash and rising accounts receivable balances. Goals of financial planning will subsequently comprise of strengthening the collection policy of accounts receivable as well as tightening the guidelines of credit-granting. </w:t>
      </w:r>
    </w:p>
    <w:p w:rsidR="001E05F3" w:rsidRPr="003C5C57" w:rsidRDefault="001E05F3" w:rsidP="00BA6DE8">
      <w:pPr>
        <w:pStyle w:val="Heading3"/>
        <w:spacing w:line="480" w:lineRule="auto"/>
        <w:contextualSpacing/>
        <w:rPr>
          <w:rFonts w:ascii="Times New Roman" w:hAnsi="Times New Roman"/>
        </w:rPr>
      </w:pPr>
      <w:bookmarkStart w:id="11" w:name="_Toc528427649"/>
      <w:r w:rsidRPr="003C5C57">
        <w:rPr>
          <w:rFonts w:ascii="Times New Roman" w:hAnsi="Times New Roman"/>
        </w:rPr>
        <w:t>Cash and Liquidity:</w:t>
      </w:r>
      <w:bookmarkEnd w:id="11"/>
      <w:r w:rsidRPr="003C5C57">
        <w:rPr>
          <w:rFonts w:ascii="Times New Roman" w:hAnsi="Times New Roman"/>
        </w:rPr>
        <w:t xml:space="preserve"> </w:t>
      </w:r>
    </w:p>
    <w:p w:rsidR="001E05F3" w:rsidRPr="003C5C57" w:rsidRDefault="001E05F3"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Ratios of liquidity and cash assist in the determination of whether a company is able to afford its investment in capital assets or even in long-term growth of the business. A working and current capital ratio are both valuable in the assessment of whether the firm has adequate liquidity to make payment for its day-to-day operations alongside meeting its short-run expenses on debt. For example, a current ratio of a firm makes a comparison between current assets and current liabilities. Therefore, a ratio 3:1 demonstrates that the firm is adequately liquid. At this juncture, the company can commence the incorporation of capital or even market investment into its financial plan. </w:t>
      </w:r>
    </w:p>
    <w:p w:rsidR="001E05F3" w:rsidRPr="003C5C57" w:rsidRDefault="001E05F3" w:rsidP="00BA6DE8">
      <w:pPr>
        <w:pStyle w:val="Heading3"/>
        <w:spacing w:line="480" w:lineRule="auto"/>
        <w:contextualSpacing/>
        <w:rPr>
          <w:rFonts w:ascii="Times New Roman" w:hAnsi="Times New Roman"/>
        </w:rPr>
      </w:pPr>
      <w:bookmarkStart w:id="12" w:name="_Toc528427650"/>
      <w:r w:rsidRPr="003C5C57">
        <w:rPr>
          <w:rFonts w:ascii="Times New Roman" w:hAnsi="Times New Roman"/>
        </w:rPr>
        <w:lastRenderedPageBreak/>
        <w:t>Efficiency and Turnover:</w:t>
      </w:r>
      <w:bookmarkEnd w:id="12"/>
      <w:r w:rsidRPr="003C5C57">
        <w:rPr>
          <w:rFonts w:ascii="Times New Roman" w:hAnsi="Times New Roman"/>
        </w:rPr>
        <w:t xml:space="preserve"> </w:t>
      </w:r>
    </w:p>
    <w:p w:rsidR="00DF5BB1" w:rsidRPr="003C5C57" w:rsidRDefault="00034833"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turnover and operating expenses ratios stay important for assisting the company in assessing how efficiently its business is using assets as well as managing its liabilities. The firm uses its operating expenses ratio to compare its operating expenses like purchase of inventors, rent, and advertising to the revenue from sales. </w:t>
      </w:r>
      <w:r w:rsidR="001E05F3" w:rsidRPr="003C5C57">
        <w:rPr>
          <w:rFonts w:ascii="Times New Roman" w:hAnsi="Times New Roman"/>
          <w:sz w:val="24"/>
          <w:szCs w:val="24"/>
        </w:rPr>
        <w:t xml:space="preserve"> </w:t>
      </w:r>
      <w:r w:rsidRPr="003C5C57">
        <w:rPr>
          <w:rFonts w:ascii="Times New Roman" w:hAnsi="Times New Roman"/>
          <w:sz w:val="24"/>
          <w:szCs w:val="24"/>
        </w:rPr>
        <w:t>Whereas a low ratio denotes a business that is successfully managing its expenses, a high ratio represents the need to course-correct ongoing financial plans. The turnover ratio characteristically calls for an in-depth examination, with both</w:t>
      </w:r>
      <w:r w:rsidR="00D14F4B" w:rsidRPr="003C5C57">
        <w:rPr>
          <w:rFonts w:ascii="Times New Roman" w:hAnsi="Times New Roman"/>
          <w:sz w:val="24"/>
          <w:szCs w:val="24"/>
        </w:rPr>
        <w:t xml:space="preserve"> exceptionally low and high ratios denoting a need for urgent concern. For instance, a high turnover on inventory ratio shows a need for a company to review its budget for inventory since the company might be losing sale as a consequent of repeated stock-outs.  </w:t>
      </w:r>
      <w:r w:rsidRPr="003C5C57">
        <w:rPr>
          <w:rFonts w:ascii="Times New Roman" w:hAnsi="Times New Roman"/>
          <w:sz w:val="24"/>
          <w:szCs w:val="24"/>
        </w:rPr>
        <w:t xml:space="preserve"> </w:t>
      </w:r>
      <w:r w:rsidR="001E05F3" w:rsidRPr="003C5C57">
        <w:rPr>
          <w:rFonts w:ascii="Times New Roman" w:hAnsi="Times New Roman"/>
          <w:sz w:val="24"/>
          <w:szCs w:val="24"/>
        </w:rPr>
        <w:t xml:space="preserve"> </w:t>
      </w:r>
      <w:r w:rsidR="00D97414" w:rsidRPr="003C5C57">
        <w:rPr>
          <w:rFonts w:ascii="Times New Roman" w:hAnsi="Times New Roman"/>
          <w:sz w:val="24"/>
          <w:szCs w:val="24"/>
        </w:rPr>
        <w:t xml:space="preserve">  </w:t>
      </w:r>
      <w:r w:rsidR="00BE42EC" w:rsidRPr="003C5C57">
        <w:rPr>
          <w:rFonts w:ascii="Times New Roman" w:hAnsi="Times New Roman"/>
          <w:sz w:val="24"/>
          <w:szCs w:val="24"/>
        </w:rPr>
        <w:t xml:space="preserve"> </w:t>
      </w:r>
    </w:p>
    <w:p w:rsidR="0084671D" w:rsidRPr="003C5C57" w:rsidRDefault="0084671D" w:rsidP="00BA6DE8">
      <w:pPr>
        <w:pStyle w:val="Heading2"/>
        <w:spacing w:line="480" w:lineRule="auto"/>
        <w:contextualSpacing/>
        <w:rPr>
          <w:rFonts w:ascii="Times New Roman" w:hAnsi="Times New Roman"/>
          <w:sz w:val="24"/>
          <w:szCs w:val="24"/>
        </w:rPr>
      </w:pPr>
      <w:bookmarkStart w:id="13" w:name="_Toc528427651"/>
      <w:r w:rsidRPr="003C5C57">
        <w:rPr>
          <w:rFonts w:ascii="Times New Roman" w:hAnsi="Times New Roman"/>
          <w:sz w:val="24"/>
          <w:szCs w:val="24"/>
        </w:rPr>
        <w:t>Financial Analysis of Uniliver and Competitors</w:t>
      </w:r>
      <w:bookmarkEnd w:id="13"/>
      <w:r w:rsidRPr="003C5C57">
        <w:rPr>
          <w:rFonts w:ascii="Times New Roman" w:hAnsi="Times New Roman"/>
          <w:sz w:val="24"/>
          <w:szCs w:val="24"/>
        </w:rPr>
        <w:t xml:space="preserve"> </w:t>
      </w:r>
    </w:p>
    <w:p w:rsidR="00071006" w:rsidRPr="003C5C57" w:rsidRDefault="00C14E6D" w:rsidP="00BA6DE8">
      <w:pPr>
        <w:pStyle w:val="Heading3"/>
        <w:spacing w:line="480" w:lineRule="auto"/>
        <w:contextualSpacing/>
        <w:rPr>
          <w:rFonts w:ascii="Times New Roman" w:hAnsi="Times New Roman"/>
        </w:rPr>
      </w:pPr>
      <w:bookmarkStart w:id="14" w:name="_Toc528427652"/>
      <w:r w:rsidRPr="003C5C57">
        <w:rPr>
          <w:rFonts w:ascii="Times New Roman" w:hAnsi="Times New Roman"/>
        </w:rPr>
        <w:t>Gross Profit Margin Ratio:</w:t>
      </w:r>
      <w:bookmarkEnd w:id="14"/>
      <w:r w:rsidRPr="003C5C57">
        <w:rPr>
          <w:rFonts w:ascii="Times New Roman" w:hAnsi="Times New Roman"/>
        </w:rPr>
        <w:t xml:space="preserve">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Description</w:t>
      </w:r>
      <w:r w:rsidR="00071006" w:rsidRPr="003C5C57">
        <w:rPr>
          <w:rFonts w:ascii="Times New Roman" w:hAnsi="Times New Roman"/>
          <w:sz w:val="24"/>
          <w:szCs w:val="24"/>
        </w:rPr>
        <w:t xml:space="preserve">: </w:t>
      </w:r>
    </w:p>
    <w:p w:rsidR="00071006" w:rsidRPr="003C5C57" w:rsidRDefault="001461A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GPMR is the financial measure used to assess the company’s financial health and its business model by revealing the money balance from revenue after one has accounted for cost of sales. It is computed by dividing the GP by revenue.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Formulae</w:t>
      </w:r>
      <w:r w:rsidR="001461A0" w:rsidRPr="003C5C57">
        <w:rPr>
          <w:rFonts w:ascii="Times New Roman" w:hAnsi="Times New Roman"/>
          <w:sz w:val="24"/>
          <w:szCs w:val="24"/>
        </w:rPr>
        <w:t>:</w:t>
      </w:r>
    </w:p>
    <w:p w:rsidR="001461A0" w:rsidRPr="003C5C57" w:rsidRDefault="001461A0" w:rsidP="00BA6DE8">
      <w:pPr>
        <w:shd w:val="clear" w:color="auto" w:fill="5B9BD5"/>
        <w:spacing w:after="0" w:line="480" w:lineRule="auto"/>
        <w:contextualSpacing/>
        <w:jc w:val="both"/>
        <w:rPr>
          <w:rFonts w:ascii="Times New Roman" w:hAnsi="Times New Roman"/>
          <w:sz w:val="24"/>
          <w:szCs w:val="24"/>
        </w:rPr>
      </w:pPr>
      <w:r w:rsidRPr="003C5C57">
        <w:rPr>
          <w:rFonts w:ascii="Times New Roman" w:hAnsi="Times New Roman"/>
          <w:sz w:val="24"/>
          <w:szCs w:val="24"/>
        </w:rPr>
        <w:t>Gross Profit Margin Ratio= (Revenue-COGs)/Revenue</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lastRenderedPageBreak/>
        <w:t xml:space="preserve">Graphical Representation </w:t>
      </w:r>
    </w:p>
    <w:p w:rsidR="00332222" w:rsidRPr="003C5C57" w:rsidRDefault="008558E1" w:rsidP="00BA6DE8">
      <w:pPr>
        <w:spacing w:after="0" w:line="480" w:lineRule="auto"/>
        <w:contextualSpacing/>
        <w:rPr>
          <w:rFonts w:ascii="Times New Roman" w:hAnsi="Times New Roman"/>
          <w:sz w:val="24"/>
          <w:szCs w:val="24"/>
        </w:rPr>
      </w:pPr>
      <w:r w:rsidRPr="003C5C57">
        <w:rPr>
          <w:rFonts w:ascii="Times New Roman" w:hAnsi="Times New Roman"/>
          <w:noProof/>
          <w:sz w:val="24"/>
          <w:szCs w:val="24"/>
        </w:rPr>
        <w:drawing>
          <wp:inline distT="0" distB="0" distL="0" distR="0">
            <wp:extent cx="4573905" cy="2745105"/>
            <wp:effectExtent l="0" t="0" r="0" b="0"/>
            <wp:docPr id="6"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Interpretation </w:t>
      </w:r>
    </w:p>
    <w:p w:rsidR="009976CB" w:rsidRPr="003C5C57" w:rsidRDefault="009976CB"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Firms desire a higher GPMR. Examining the results of the analysis, it can be seen that Uniliver is doing better relative to the other rivals in the industry. This is because when comparing the years 2015 and 2016, there was an increase in the value of the GPMR. This indicates that the Uniliver was more profitable in the year 2016 than in 2015. </w:t>
      </w:r>
    </w:p>
    <w:p w:rsidR="00332222" w:rsidRPr="003C5C57" w:rsidRDefault="00332222" w:rsidP="00BA6DE8">
      <w:pPr>
        <w:spacing w:after="0" w:line="480" w:lineRule="auto"/>
        <w:contextualSpacing/>
        <w:jc w:val="both"/>
        <w:rPr>
          <w:rFonts w:ascii="Times New Roman" w:hAnsi="Times New Roman"/>
          <w:sz w:val="24"/>
          <w:szCs w:val="24"/>
        </w:rPr>
      </w:pPr>
    </w:p>
    <w:p w:rsidR="00332222" w:rsidRPr="003C5C57" w:rsidRDefault="00332222" w:rsidP="00BA6DE8">
      <w:pPr>
        <w:pStyle w:val="Heading3"/>
        <w:spacing w:line="480" w:lineRule="auto"/>
        <w:contextualSpacing/>
        <w:rPr>
          <w:rFonts w:ascii="Times New Roman" w:hAnsi="Times New Roman"/>
        </w:rPr>
      </w:pPr>
      <w:bookmarkStart w:id="15" w:name="_Toc528427653"/>
      <w:r w:rsidRPr="003C5C57">
        <w:rPr>
          <w:rFonts w:ascii="Times New Roman" w:hAnsi="Times New Roman"/>
        </w:rPr>
        <w:t>O</w:t>
      </w:r>
      <w:r w:rsidR="009976CB" w:rsidRPr="003C5C57">
        <w:rPr>
          <w:rFonts w:ascii="Times New Roman" w:hAnsi="Times New Roman"/>
        </w:rPr>
        <w:t xml:space="preserve">perating </w:t>
      </w:r>
      <w:r w:rsidRPr="003C5C57">
        <w:rPr>
          <w:rFonts w:ascii="Times New Roman" w:hAnsi="Times New Roman"/>
        </w:rPr>
        <w:t>P</w:t>
      </w:r>
      <w:r w:rsidR="009976CB" w:rsidRPr="003C5C57">
        <w:rPr>
          <w:rFonts w:ascii="Times New Roman" w:hAnsi="Times New Roman"/>
        </w:rPr>
        <w:t xml:space="preserve">rofit </w:t>
      </w:r>
      <w:r w:rsidRPr="003C5C57">
        <w:rPr>
          <w:rFonts w:ascii="Times New Roman" w:hAnsi="Times New Roman"/>
        </w:rPr>
        <w:t>M</w:t>
      </w:r>
      <w:r w:rsidR="009976CB" w:rsidRPr="003C5C57">
        <w:rPr>
          <w:rFonts w:ascii="Times New Roman" w:hAnsi="Times New Roman"/>
        </w:rPr>
        <w:t xml:space="preserve">argin </w:t>
      </w:r>
      <w:r w:rsidRPr="003C5C57">
        <w:rPr>
          <w:rFonts w:ascii="Times New Roman" w:hAnsi="Times New Roman"/>
        </w:rPr>
        <w:t>R</w:t>
      </w:r>
      <w:r w:rsidR="009976CB" w:rsidRPr="003C5C57">
        <w:rPr>
          <w:rFonts w:ascii="Times New Roman" w:hAnsi="Times New Roman"/>
        </w:rPr>
        <w:t>atio</w:t>
      </w:r>
      <w:bookmarkEnd w:id="15"/>
      <w:r w:rsidR="009976CB" w:rsidRPr="003C5C57">
        <w:rPr>
          <w:rFonts w:ascii="Times New Roman" w:hAnsi="Times New Roman"/>
        </w:rPr>
        <w:t xml:space="preserve">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Description</w:t>
      </w:r>
    </w:p>
    <w:p w:rsidR="009976CB" w:rsidRPr="003C5C57" w:rsidRDefault="009976CB"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OPMR is a measure of profitability which helps the firm to assess how much a dollar of revenue will remain in the firm once it has subtracted the operating expenses and the cost of sales.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Formulae</w:t>
      </w:r>
    </w:p>
    <w:p w:rsidR="001461A0" w:rsidRPr="003C5C57" w:rsidRDefault="001461A0" w:rsidP="00BA6DE8">
      <w:pPr>
        <w:shd w:val="clear" w:color="auto" w:fill="5B9BD5"/>
        <w:spacing w:after="0" w:line="480" w:lineRule="auto"/>
        <w:contextualSpacing/>
        <w:jc w:val="both"/>
        <w:rPr>
          <w:rFonts w:ascii="Times New Roman" w:hAnsi="Times New Roman"/>
          <w:sz w:val="24"/>
          <w:szCs w:val="24"/>
        </w:rPr>
      </w:pPr>
      <w:r w:rsidRPr="003C5C57">
        <w:rPr>
          <w:rFonts w:ascii="Times New Roman" w:hAnsi="Times New Roman"/>
          <w:sz w:val="24"/>
          <w:szCs w:val="24"/>
        </w:rPr>
        <w:t>Operating Profit Margin Ratio= (Operating Profit/Total Revenue/Net Sales) X 100</w:t>
      </w:r>
    </w:p>
    <w:p w:rsidR="00AD50B6" w:rsidRPr="003C5C57" w:rsidRDefault="00AD50B6" w:rsidP="00BA6DE8">
      <w:pPr>
        <w:spacing w:after="0" w:line="480" w:lineRule="auto"/>
        <w:contextualSpacing/>
        <w:jc w:val="both"/>
        <w:rPr>
          <w:rFonts w:ascii="Times New Roman" w:hAnsi="Times New Roman"/>
          <w:b/>
          <w:sz w:val="24"/>
          <w:szCs w:val="24"/>
        </w:rPr>
      </w:pP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Graphical Representation </w:t>
      </w:r>
    </w:p>
    <w:p w:rsidR="00C14E6D" w:rsidRPr="003C5C57" w:rsidRDefault="00C14E6D" w:rsidP="00BA6DE8">
      <w:pPr>
        <w:spacing w:after="0" w:line="480" w:lineRule="auto"/>
        <w:contextualSpacing/>
        <w:rPr>
          <w:rFonts w:ascii="Times New Roman" w:hAnsi="Times New Roman"/>
          <w:sz w:val="24"/>
          <w:szCs w:val="24"/>
        </w:rPr>
      </w:pPr>
    </w:p>
    <w:p w:rsidR="00332222" w:rsidRPr="003C5C57" w:rsidRDefault="008558E1" w:rsidP="00BA6DE8">
      <w:pPr>
        <w:spacing w:after="0" w:line="480" w:lineRule="auto"/>
        <w:contextualSpacing/>
        <w:rPr>
          <w:rFonts w:ascii="Times New Roman" w:hAnsi="Times New Roman"/>
          <w:sz w:val="24"/>
          <w:szCs w:val="24"/>
        </w:rPr>
      </w:pPr>
      <w:r w:rsidRPr="003C5C57">
        <w:rPr>
          <w:rFonts w:ascii="Times New Roman" w:hAnsi="Times New Roman"/>
          <w:noProof/>
          <w:sz w:val="24"/>
          <w:szCs w:val="24"/>
        </w:rPr>
        <w:drawing>
          <wp:inline distT="0" distB="0" distL="0" distR="0">
            <wp:extent cx="4573905" cy="2745105"/>
            <wp:effectExtent l="0" t="0" r="0" b="0"/>
            <wp:docPr id="7"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32222" w:rsidRPr="003C5C57" w:rsidRDefault="00332222" w:rsidP="00BA6DE8">
      <w:pPr>
        <w:spacing w:after="0" w:line="480" w:lineRule="auto"/>
        <w:contextualSpacing/>
        <w:rPr>
          <w:rFonts w:ascii="Times New Roman" w:hAnsi="Times New Roman"/>
          <w:sz w:val="24"/>
          <w:szCs w:val="24"/>
        </w:rPr>
      </w:pP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Interpretation </w:t>
      </w:r>
    </w:p>
    <w:p w:rsidR="009976CB" w:rsidRPr="003C5C57" w:rsidRDefault="009976CB" w:rsidP="00BA6DE8">
      <w:pPr>
        <w:spacing w:after="0" w:line="480" w:lineRule="auto"/>
        <w:contextualSpacing/>
        <w:jc w:val="both"/>
        <w:rPr>
          <w:rFonts w:ascii="Times New Roman" w:hAnsi="Times New Roman"/>
          <w:sz w:val="24"/>
          <w:szCs w:val="24"/>
        </w:rPr>
      </w:pPr>
      <w:r w:rsidRPr="003C5C57">
        <w:rPr>
          <w:rFonts w:ascii="Times New Roman" w:hAnsi="Times New Roman"/>
          <w:sz w:val="24"/>
          <w:szCs w:val="24"/>
        </w:rPr>
        <w:tab/>
        <w:t>The analysis clearly demonstrates that a higher OPMR is desirable and indicates a higher profitability. From the analysis above, it is apparent that there was an in</w:t>
      </w:r>
      <w:r w:rsidR="002F4F90" w:rsidRPr="003C5C57">
        <w:rPr>
          <w:rFonts w:ascii="Times New Roman" w:hAnsi="Times New Roman"/>
          <w:sz w:val="24"/>
          <w:szCs w:val="24"/>
        </w:rPr>
        <w:t xml:space="preserve">crease in this ratio across the five rivals firms between years 2015 and 2016. With specific respect to Uniliver, the firm made 0.0987 dollars in operating earnings for each dollar it spent in year 2015 as opposed to 0.105 dollars in operating earnings per dollar it consumed in year 2016. The decision is that Uniliver was more profitable in than year 2016 as opposed to year 2015. </w:t>
      </w:r>
    </w:p>
    <w:p w:rsidR="00C14E6D" w:rsidRPr="003C5C57" w:rsidRDefault="00C14E6D" w:rsidP="00BA6DE8">
      <w:pPr>
        <w:spacing w:after="0" w:line="480" w:lineRule="auto"/>
        <w:contextualSpacing/>
        <w:jc w:val="both"/>
        <w:rPr>
          <w:rFonts w:ascii="Times New Roman" w:hAnsi="Times New Roman"/>
          <w:sz w:val="24"/>
          <w:szCs w:val="24"/>
        </w:rPr>
      </w:pPr>
    </w:p>
    <w:p w:rsidR="00C14E6D" w:rsidRPr="003C5C57" w:rsidRDefault="00C14E6D" w:rsidP="00BA6DE8">
      <w:pPr>
        <w:pStyle w:val="Heading3"/>
        <w:spacing w:line="480" w:lineRule="auto"/>
        <w:contextualSpacing/>
        <w:rPr>
          <w:rFonts w:ascii="Times New Roman" w:hAnsi="Times New Roman"/>
        </w:rPr>
      </w:pPr>
      <w:bookmarkStart w:id="16" w:name="_Toc528427654"/>
      <w:r w:rsidRPr="003C5C57">
        <w:rPr>
          <w:rFonts w:ascii="Times New Roman" w:hAnsi="Times New Roman"/>
        </w:rPr>
        <w:lastRenderedPageBreak/>
        <w:t>ROCE:</w:t>
      </w:r>
      <w:bookmarkEnd w:id="16"/>
      <w:r w:rsidRPr="003C5C57">
        <w:rPr>
          <w:rFonts w:ascii="Times New Roman" w:hAnsi="Times New Roman"/>
        </w:rPr>
        <w:t xml:space="preserve">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Description</w:t>
      </w:r>
    </w:p>
    <w:p w:rsidR="002F4F90" w:rsidRPr="003C5C57" w:rsidRDefault="002F4F90"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ROCE describes a financial ratio calculated by the company to measure its profitability and efficiency with its capital employed. It is, therefore, an important profitability measure that helps in comparing the profitability of the company across the industry based on the capital each company employs in its operation. ROCE enables the company to compare its performance in capital-oriented industries since it takes into consideration additional debt and liabilities. ROCE, therefore, avails an advanced financial indicator for the company with significant debt.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Formulae</w:t>
      </w:r>
    </w:p>
    <w:p w:rsidR="001461A0" w:rsidRPr="003C5C57" w:rsidRDefault="001461A0" w:rsidP="00BA6DE8">
      <w:pPr>
        <w:shd w:val="clear" w:color="auto" w:fill="5B9BD5"/>
        <w:spacing w:after="0" w:line="480" w:lineRule="auto"/>
        <w:contextualSpacing/>
        <w:jc w:val="both"/>
        <w:rPr>
          <w:rFonts w:ascii="Times New Roman" w:hAnsi="Times New Roman"/>
          <w:sz w:val="24"/>
          <w:szCs w:val="24"/>
        </w:rPr>
      </w:pPr>
      <w:r w:rsidRPr="003C5C57">
        <w:rPr>
          <w:rFonts w:ascii="Times New Roman" w:hAnsi="Times New Roman"/>
          <w:sz w:val="24"/>
          <w:szCs w:val="24"/>
        </w:rPr>
        <w:t>ROCE= (Net Profit before Interest and Tax/Capital Employed) X 100</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Graphical Representation </w:t>
      </w:r>
    </w:p>
    <w:p w:rsidR="00C14E6D" w:rsidRPr="003C5C57" w:rsidRDefault="00C14E6D" w:rsidP="00BA6DE8">
      <w:pPr>
        <w:spacing w:after="0" w:line="480" w:lineRule="auto"/>
        <w:contextualSpacing/>
        <w:rPr>
          <w:rFonts w:ascii="Times New Roman" w:hAnsi="Times New Roman"/>
          <w:sz w:val="24"/>
          <w:szCs w:val="24"/>
        </w:rPr>
      </w:pPr>
    </w:p>
    <w:p w:rsidR="00C14E6D" w:rsidRPr="003C5C57" w:rsidRDefault="008558E1" w:rsidP="00BA6DE8">
      <w:pPr>
        <w:spacing w:after="0" w:line="480" w:lineRule="auto"/>
        <w:contextualSpacing/>
        <w:rPr>
          <w:rFonts w:ascii="Times New Roman" w:hAnsi="Times New Roman"/>
          <w:sz w:val="24"/>
          <w:szCs w:val="24"/>
        </w:rPr>
      </w:pPr>
      <w:r w:rsidRPr="003C5C57">
        <w:rPr>
          <w:rFonts w:ascii="Times New Roman" w:hAnsi="Times New Roman"/>
          <w:noProof/>
          <w:sz w:val="24"/>
          <w:szCs w:val="24"/>
        </w:rPr>
        <w:drawing>
          <wp:inline distT="0" distB="0" distL="0" distR="0">
            <wp:extent cx="4573905" cy="2745105"/>
            <wp:effectExtent l="0" t="0" r="0" b="0"/>
            <wp:docPr id="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lastRenderedPageBreak/>
        <w:t xml:space="preserve">Interpretation </w:t>
      </w:r>
    </w:p>
    <w:p w:rsidR="00C14E6D" w:rsidRPr="003C5C57" w:rsidRDefault="002F4F90" w:rsidP="00BA6DE8">
      <w:pPr>
        <w:spacing w:after="0" w:line="480" w:lineRule="auto"/>
        <w:contextualSpacing/>
        <w:jc w:val="both"/>
        <w:rPr>
          <w:rFonts w:ascii="Times New Roman" w:hAnsi="Times New Roman"/>
          <w:sz w:val="24"/>
          <w:szCs w:val="24"/>
        </w:rPr>
      </w:pPr>
      <w:r w:rsidRPr="003C5C57">
        <w:rPr>
          <w:rFonts w:ascii="Times New Roman" w:hAnsi="Times New Roman"/>
          <w:sz w:val="24"/>
          <w:szCs w:val="24"/>
        </w:rPr>
        <w:tab/>
        <w:t>Companies have preferences for both stable and increasing ROCE. This is because such a ROCE has the capability of volatility and bouncing around throughout there years. The calculation of ROCE in this analysis clearly shows that Uniliver enjoys both stable as well as an increasing ROCE</w:t>
      </w:r>
      <w:r w:rsidR="00937D6D" w:rsidRPr="003C5C57">
        <w:rPr>
          <w:rFonts w:ascii="Times New Roman" w:hAnsi="Times New Roman"/>
          <w:sz w:val="24"/>
          <w:szCs w:val="24"/>
        </w:rPr>
        <w:t xml:space="preserve"> (</w:t>
      </w:r>
      <w:r w:rsidR="00937D6D" w:rsidRPr="003C5C57">
        <w:rPr>
          <w:rFonts w:ascii="Times New Roman" w:hAnsi="Times New Roman"/>
          <w:color w:val="222222"/>
          <w:sz w:val="24"/>
          <w:szCs w:val="24"/>
          <w:shd w:val="clear" w:color="auto" w:fill="FFFFFF"/>
        </w:rPr>
        <w:t>Minnis &amp; Sutherland, 2017</w:t>
      </w:r>
      <w:r w:rsidR="00937D6D" w:rsidRPr="003C5C57">
        <w:rPr>
          <w:rFonts w:ascii="Times New Roman" w:hAnsi="Times New Roman"/>
          <w:sz w:val="24"/>
          <w:szCs w:val="24"/>
        </w:rPr>
        <w:t>)</w:t>
      </w:r>
      <w:r w:rsidRPr="003C5C57">
        <w:rPr>
          <w:rFonts w:ascii="Times New Roman" w:hAnsi="Times New Roman"/>
          <w:sz w:val="24"/>
          <w:szCs w:val="24"/>
        </w:rPr>
        <w:t xml:space="preserve">. Therefore, Uniliver remains more profitable in 2016 than 2015 as compared the other four rivals companies. However, it should be noted that all the other four companies that Uniliver is competing with have rising and stable ROCE between 2015 and 2016.  </w:t>
      </w:r>
    </w:p>
    <w:p w:rsidR="005917A3" w:rsidRPr="003C5C57" w:rsidRDefault="00C14E6D" w:rsidP="00BA6DE8">
      <w:pPr>
        <w:pStyle w:val="Heading3"/>
        <w:spacing w:line="480" w:lineRule="auto"/>
        <w:contextualSpacing/>
        <w:rPr>
          <w:rFonts w:ascii="Times New Roman" w:hAnsi="Times New Roman"/>
        </w:rPr>
      </w:pPr>
      <w:bookmarkStart w:id="17" w:name="_Toc528427655"/>
      <w:r w:rsidRPr="003C5C57">
        <w:rPr>
          <w:rFonts w:ascii="Times New Roman" w:hAnsi="Times New Roman"/>
        </w:rPr>
        <w:t>INTEREST COVER RATIO</w:t>
      </w:r>
      <w:bookmarkEnd w:id="17"/>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Description</w:t>
      </w:r>
    </w:p>
    <w:p w:rsidR="00A20B1B" w:rsidRPr="003C5C57" w:rsidRDefault="00610F9E" w:rsidP="00BA6DE8">
      <w:pPr>
        <w:spacing w:after="0" w:line="480" w:lineRule="auto"/>
        <w:contextualSpacing/>
        <w:jc w:val="both"/>
        <w:rPr>
          <w:rFonts w:ascii="Times New Roman" w:hAnsi="Times New Roman"/>
          <w:sz w:val="24"/>
          <w:szCs w:val="24"/>
        </w:rPr>
      </w:pPr>
      <w:r w:rsidRPr="003C5C57">
        <w:rPr>
          <w:rFonts w:ascii="Times New Roman" w:hAnsi="Times New Roman"/>
          <w:sz w:val="24"/>
          <w:szCs w:val="24"/>
        </w:rPr>
        <w:tab/>
        <w:t xml:space="preserve">The ICR is employed when determining how easily a firm is able to pay its interest expenses on its outstanding debt. It gives a measure of the number of times over the firm might successfully pay it outstanding debt through its earnings. It is imagined as the margin of safety for the creditors of the company in case the firm is trapped in the financial problem in its operations. The lower the ratio, the more a firm is burdened by expenses of debt. Where the firm ICR is merely 1.50 or under, the ability of such firm to meet its expenses from interest is doubtful. The ability of a firm to service its respective debts remains a key element when establishing the solvency of the firm and it remains imperative value for both prospective investors and the shareholders. This is because the company prospective investors wish to be guaranteed that the firm they consider investing in is able to pay its bills and even the expense from interests. Such investors do want desire the growth of the company to be impeded by such types of financial problem. </w:t>
      </w:r>
    </w:p>
    <w:p w:rsidR="00610F9E" w:rsidRPr="003C5C57" w:rsidRDefault="00610F9E"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On the other hand, the creditors are </w:t>
      </w:r>
      <w:r w:rsidR="00710D51" w:rsidRPr="003C5C57">
        <w:rPr>
          <w:rFonts w:ascii="Times New Roman" w:hAnsi="Times New Roman"/>
          <w:sz w:val="24"/>
          <w:szCs w:val="24"/>
        </w:rPr>
        <w:t xml:space="preserve">worried about the ability of the firm to pay its interests. In case a firm is battling to pay its interest expenses, it makes no sense for a prospective </w:t>
      </w:r>
      <w:r w:rsidR="00710D51" w:rsidRPr="003C5C57">
        <w:rPr>
          <w:rFonts w:ascii="Times New Roman" w:hAnsi="Times New Roman"/>
          <w:sz w:val="24"/>
          <w:szCs w:val="24"/>
        </w:rPr>
        <w:lastRenderedPageBreak/>
        <w:t>credit to give further credit</w:t>
      </w:r>
      <w:r w:rsidR="00937D6D" w:rsidRPr="003C5C57">
        <w:rPr>
          <w:rFonts w:ascii="Times New Roman" w:hAnsi="Times New Roman"/>
          <w:sz w:val="24"/>
          <w:szCs w:val="24"/>
        </w:rPr>
        <w:t xml:space="preserve"> (</w:t>
      </w:r>
      <w:r w:rsidR="00937D6D" w:rsidRPr="003C5C57">
        <w:rPr>
          <w:rFonts w:ascii="Times New Roman" w:hAnsi="Times New Roman"/>
          <w:color w:val="222222"/>
          <w:sz w:val="24"/>
          <w:szCs w:val="24"/>
          <w:shd w:val="clear" w:color="auto" w:fill="FFFFFF"/>
        </w:rPr>
        <w:t>Grant, 2016</w:t>
      </w:r>
      <w:r w:rsidR="00937D6D" w:rsidRPr="003C5C57">
        <w:rPr>
          <w:rFonts w:ascii="Times New Roman" w:hAnsi="Times New Roman"/>
          <w:sz w:val="24"/>
          <w:szCs w:val="24"/>
        </w:rPr>
        <w:t>)</w:t>
      </w:r>
      <w:r w:rsidR="00710D51" w:rsidRPr="003C5C57">
        <w:rPr>
          <w:rFonts w:ascii="Times New Roman" w:hAnsi="Times New Roman"/>
          <w:sz w:val="24"/>
          <w:szCs w:val="24"/>
        </w:rPr>
        <w:t xml:space="preserve">. Thus, the ICR sometimes assist analysts to know more details about the ability of a company to service its debt, however, scrutinizing ICR over a period will avail a precise image of whether the debt of the firm is becoming a burden on its financial positon or not. A decreasing ICR makes investors to get worried because it is an indication of a firm being unable to meet its debt payment in the coming years. Nevertheless, it remains challenging to predict the long-term financial health accurately with ICR. </w:t>
      </w:r>
    </w:p>
    <w:p w:rsidR="002F4F90" w:rsidRPr="003C5C57" w:rsidRDefault="002F4F90" w:rsidP="00BA6DE8">
      <w:pPr>
        <w:spacing w:after="0" w:line="480" w:lineRule="auto"/>
        <w:contextualSpacing/>
        <w:rPr>
          <w:rFonts w:ascii="Times New Roman" w:hAnsi="Times New Roman"/>
          <w:sz w:val="24"/>
          <w:szCs w:val="24"/>
        </w:rPr>
      </w:pP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Formulae</w:t>
      </w:r>
    </w:p>
    <w:p w:rsidR="001461A0" w:rsidRPr="003C5C57" w:rsidRDefault="001461A0" w:rsidP="00BA6DE8">
      <w:pPr>
        <w:shd w:val="clear" w:color="auto" w:fill="5B9BD5"/>
        <w:spacing w:after="0" w:line="480" w:lineRule="auto"/>
        <w:contextualSpacing/>
        <w:rPr>
          <w:rFonts w:ascii="Times New Roman" w:hAnsi="Times New Roman"/>
          <w:sz w:val="24"/>
          <w:szCs w:val="24"/>
        </w:rPr>
      </w:pPr>
      <w:r w:rsidRPr="003C5C57">
        <w:rPr>
          <w:rFonts w:ascii="Times New Roman" w:hAnsi="Times New Roman"/>
          <w:sz w:val="24"/>
          <w:szCs w:val="24"/>
        </w:rPr>
        <w:t xml:space="preserve">Interest Coverage Ratio= (Earnings before Interest and Taxes EBIT/ Interest Expenses </w:t>
      </w:r>
    </w:p>
    <w:p w:rsidR="005917A3"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Graphical Representation </w:t>
      </w:r>
    </w:p>
    <w:p w:rsidR="005917A3" w:rsidRPr="003C5C57" w:rsidRDefault="008558E1" w:rsidP="00BA6DE8">
      <w:pPr>
        <w:spacing w:after="0" w:line="480" w:lineRule="auto"/>
        <w:contextualSpacing/>
        <w:rPr>
          <w:rFonts w:ascii="Times New Roman" w:hAnsi="Times New Roman"/>
          <w:noProof/>
          <w:sz w:val="24"/>
          <w:szCs w:val="24"/>
        </w:rPr>
      </w:pPr>
      <w:r w:rsidRPr="003C5C57">
        <w:rPr>
          <w:rFonts w:ascii="Times New Roman" w:hAnsi="Times New Roman"/>
          <w:noProof/>
          <w:sz w:val="24"/>
          <w:szCs w:val="24"/>
        </w:rPr>
        <w:drawing>
          <wp:inline distT="0" distB="0" distL="0" distR="0">
            <wp:extent cx="4573905" cy="2745105"/>
            <wp:effectExtent l="0" t="0" r="0" b="0"/>
            <wp:docPr id="9"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14E6D" w:rsidRPr="003C5C57" w:rsidRDefault="00C14E6D" w:rsidP="00BA6DE8">
      <w:pPr>
        <w:spacing w:after="0" w:line="480" w:lineRule="auto"/>
        <w:contextualSpacing/>
        <w:rPr>
          <w:rFonts w:ascii="Times New Roman" w:hAnsi="Times New Roman"/>
          <w:sz w:val="24"/>
          <w:szCs w:val="24"/>
        </w:rPr>
      </w:pP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Interpretation </w:t>
      </w:r>
    </w:p>
    <w:p w:rsidR="00AD50B6" w:rsidRPr="003C5C57" w:rsidRDefault="00AD50B6"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A declining ICR is a worry for investors, creditors and shareholders. This is because it shows the inability of the firm to meet its obligations in the future. However, as seen in the above </w:t>
      </w:r>
      <w:r w:rsidRPr="003C5C57">
        <w:rPr>
          <w:rFonts w:ascii="Times New Roman" w:hAnsi="Times New Roman"/>
          <w:sz w:val="24"/>
          <w:szCs w:val="24"/>
        </w:rPr>
        <w:lastRenderedPageBreak/>
        <w:t xml:space="preserve">graphical representation of ICR, the five companies all have arising ICR. This means that they will be able to pay their interest expenses.  </w:t>
      </w:r>
      <w:r w:rsidR="009F0C0B" w:rsidRPr="003C5C57">
        <w:rPr>
          <w:rFonts w:ascii="Times New Roman" w:hAnsi="Times New Roman"/>
          <w:sz w:val="24"/>
          <w:szCs w:val="24"/>
        </w:rPr>
        <w:t xml:space="preserve">However, the ICR for all the firms are lying below 1.5 which means that they are all burdened with debt payment. </w:t>
      </w:r>
    </w:p>
    <w:p w:rsidR="00C14E6D" w:rsidRPr="003C5C57" w:rsidRDefault="00C14E6D" w:rsidP="00BA6DE8">
      <w:pPr>
        <w:pStyle w:val="Heading3"/>
        <w:spacing w:line="480" w:lineRule="auto"/>
        <w:contextualSpacing/>
        <w:rPr>
          <w:rFonts w:ascii="Times New Roman" w:hAnsi="Times New Roman"/>
        </w:rPr>
      </w:pPr>
      <w:bookmarkStart w:id="18" w:name="_Toc528427656"/>
      <w:r w:rsidRPr="003C5C57">
        <w:rPr>
          <w:rFonts w:ascii="Times New Roman" w:hAnsi="Times New Roman"/>
        </w:rPr>
        <w:t>GEARING RATIO</w:t>
      </w:r>
      <w:bookmarkEnd w:id="18"/>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Description</w:t>
      </w:r>
    </w:p>
    <w:p w:rsidR="009F0C0B" w:rsidRPr="003C5C57" w:rsidRDefault="009F0C0B" w:rsidP="00BA6DE8">
      <w:pPr>
        <w:spacing w:after="0" w:line="480" w:lineRule="auto"/>
        <w:contextualSpacing/>
        <w:jc w:val="both"/>
        <w:rPr>
          <w:rFonts w:ascii="Times New Roman" w:hAnsi="Times New Roman"/>
          <w:sz w:val="24"/>
          <w:szCs w:val="24"/>
        </w:rPr>
      </w:pPr>
      <w:r w:rsidRPr="003C5C57">
        <w:rPr>
          <w:rFonts w:ascii="Times New Roman" w:hAnsi="Times New Roman"/>
          <w:sz w:val="24"/>
          <w:szCs w:val="24"/>
        </w:rPr>
        <w:tab/>
        <w:t>Gearing is a classification that shows comparison of some equity forms of the owner to the fund borrowed. It gives a measure of a firm’s leverage while the gearing ratio is an evaluation of the firm’s financial fitness. Gearing ratio represents the current equity value that could be required for unpaid debt due</w:t>
      </w:r>
      <w:r w:rsidR="00A20B1B" w:rsidRPr="003C5C57">
        <w:rPr>
          <w:rFonts w:ascii="Times New Roman" w:hAnsi="Times New Roman"/>
          <w:sz w:val="24"/>
          <w:szCs w:val="24"/>
        </w:rPr>
        <w:t xml:space="preserve"> (</w:t>
      </w:r>
      <w:r w:rsidR="00937D6D" w:rsidRPr="003C5C57">
        <w:rPr>
          <w:rFonts w:ascii="Times New Roman" w:hAnsi="Times New Roman"/>
          <w:color w:val="222222"/>
          <w:sz w:val="24"/>
          <w:szCs w:val="24"/>
          <w:shd w:val="clear" w:color="auto" w:fill="FFFFFF"/>
        </w:rPr>
        <w:t xml:space="preserve">Feng et al., </w:t>
      </w:r>
      <w:r w:rsidR="00A20B1B" w:rsidRPr="003C5C57">
        <w:rPr>
          <w:rFonts w:ascii="Times New Roman" w:hAnsi="Times New Roman"/>
          <w:color w:val="222222"/>
          <w:sz w:val="24"/>
          <w:szCs w:val="24"/>
          <w:shd w:val="clear" w:color="auto" w:fill="FFFFFF"/>
        </w:rPr>
        <w:t>2014</w:t>
      </w:r>
      <w:r w:rsidR="00A20B1B" w:rsidRPr="003C5C57">
        <w:rPr>
          <w:rFonts w:ascii="Times New Roman" w:hAnsi="Times New Roman"/>
          <w:sz w:val="24"/>
          <w:szCs w:val="24"/>
        </w:rPr>
        <w:t>)</w:t>
      </w:r>
      <w:r w:rsidRPr="003C5C57">
        <w:rPr>
          <w:rFonts w:ascii="Times New Roman" w:hAnsi="Times New Roman"/>
          <w:sz w:val="24"/>
          <w:szCs w:val="24"/>
        </w:rPr>
        <w:t xml:space="preserve">.  </w:t>
      </w:r>
    </w:p>
    <w:p w:rsidR="00AD50B6" w:rsidRPr="003C5C57" w:rsidRDefault="00AD50B6"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Formulae</w:t>
      </w:r>
    </w:p>
    <w:p w:rsidR="001461A0" w:rsidRPr="003C5C57" w:rsidRDefault="009976CB" w:rsidP="00BA6DE8">
      <w:pPr>
        <w:shd w:val="clear" w:color="auto" w:fill="5B9BD5"/>
        <w:spacing w:after="0" w:line="480" w:lineRule="auto"/>
        <w:contextualSpacing/>
        <w:jc w:val="both"/>
        <w:rPr>
          <w:rFonts w:ascii="Times New Roman" w:hAnsi="Times New Roman"/>
          <w:sz w:val="24"/>
          <w:szCs w:val="24"/>
        </w:rPr>
      </w:pPr>
      <w:r w:rsidRPr="003C5C57">
        <w:rPr>
          <w:rFonts w:ascii="Times New Roman" w:hAnsi="Times New Roman"/>
          <w:sz w:val="24"/>
          <w:szCs w:val="24"/>
        </w:rPr>
        <w:t>GR</w:t>
      </w:r>
      <w:r w:rsidR="001461A0" w:rsidRPr="003C5C57">
        <w:rPr>
          <w:rFonts w:ascii="Times New Roman" w:hAnsi="Times New Roman"/>
          <w:sz w:val="24"/>
          <w:szCs w:val="24"/>
        </w:rPr>
        <w:t>= Interest Bearing Debt/ (Share Capital + Retained Earnings + Interes</w:t>
      </w:r>
      <w:r w:rsidRPr="003C5C57">
        <w:rPr>
          <w:rFonts w:ascii="Times New Roman" w:hAnsi="Times New Roman"/>
          <w:sz w:val="24"/>
          <w:szCs w:val="24"/>
        </w:rPr>
        <w:t>t Bearing Debt</w:t>
      </w:r>
      <w:r w:rsidR="001461A0" w:rsidRPr="003C5C57">
        <w:rPr>
          <w:rFonts w:ascii="Times New Roman" w:hAnsi="Times New Roman"/>
          <w:sz w:val="24"/>
          <w:szCs w:val="24"/>
        </w:rPr>
        <w:t>)</w:t>
      </w:r>
    </w:p>
    <w:p w:rsidR="00AD50B6" w:rsidRPr="003C5C57" w:rsidRDefault="00AD50B6" w:rsidP="00BA6DE8">
      <w:pPr>
        <w:spacing w:after="0" w:line="480" w:lineRule="auto"/>
        <w:contextualSpacing/>
        <w:jc w:val="both"/>
        <w:rPr>
          <w:rFonts w:ascii="Times New Roman" w:hAnsi="Times New Roman"/>
          <w:sz w:val="24"/>
          <w:szCs w:val="24"/>
        </w:rPr>
      </w:pP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Graphical Representation </w:t>
      </w:r>
    </w:p>
    <w:p w:rsidR="00C14E6D" w:rsidRPr="003C5C57" w:rsidRDefault="00C14E6D" w:rsidP="00BA6DE8">
      <w:pPr>
        <w:spacing w:after="0" w:line="480" w:lineRule="auto"/>
        <w:contextualSpacing/>
        <w:rPr>
          <w:rFonts w:ascii="Times New Roman" w:hAnsi="Times New Roman"/>
          <w:sz w:val="24"/>
          <w:szCs w:val="24"/>
        </w:rPr>
      </w:pPr>
    </w:p>
    <w:p w:rsidR="00C14E6D" w:rsidRPr="003C5C57" w:rsidRDefault="008558E1" w:rsidP="00BA6DE8">
      <w:pPr>
        <w:spacing w:after="0" w:line="480" w:lineRule="auto"/>
        <w:contextualSpacing/>
        <w:rPr>
          <w:rFonts w:ascii="Times New Roman" w:hAnsi="Times New Roman"/>
          <w:sz w:val="24"/>
          <w:szCs w:val="24"/>
        </w:rPr>
      </w:pPr>
      <w:r w:rsidRPr="003C5C57">
        <w:rPr>
          <w:rFonts w:ascii="Times New Roman" w:hAnsi="Times New Roman"/>
          <w:noProof/>
          <w:sz w:val="24"/>
          <w:szCs w:val="24"/>
        </w:rPr>
        <w:lastRenderedPageBreak/>
        <w:drawing>
          <wp:inline distT="0" distB="0" distL="0" distR="0">
            <wp:extent cx="4573905" cy="2745105"/>
            <wp:effectExtent l="0" t="0" r="0" b="0"/>
            <wp:docPr id="10"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Interpretation</w:t>
      </w:r>
    </w:p>
    <w:p w:rsidR="009F0C0B" w:rsidRPr="003C5C57" w:rsidRDefault="009F0C0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Every firm determines its optimal gearing ratio in comparison to its competitors in the same industry. A gearing ratio higher than 50% is considered highly leveraged or geared. Therefore, a company shall be at increased financial risks because lower profits with higher rates of interest make the firm highly probable to default on its loan payment thus insolvency</w:t>
      </w:r>
      <w:r w:rsidR="00A20B1B" w:rsidRPr="003C5C57">
        <w:rPr>
          <w:rFonts w:ascii="Times New Roman" w:hAnsi="Times New Roman"/>
          <w:sz w:val="24"/>
          <w:szCs w:val="24"/>
        </w:rPr>
        <w:t xml:space="preserve"> (</w:t>
      </w:r>
      <w:r w:rsidR="00A20B1B" w:rsidRPr="003C5C57">
        <w:rPr>
          <w:rFonts w:ascii="Times New Roman" w:hAnsi="Times New Roman"/>
          <w:color w:val="222222"/>
          <w:sz w:val="24"/>
          <w:szCs w:val="24"/>
          <w:shd w:val="clear" w:color="auto" w:fill="FFFFFF"/>
        </w:rPr>
        <w:t>Easton &amp; Sommers, 2018</w:t>
      </w:r>
      <w:r w:rsidR="00A20B1B" w:rsidRPr="003C5C57">
        <w:rPr>
          <w:rFonts w:ascii="Times New Roman" w:hAnsi="Times New Roman"/>
          <w:sz w:val="24"/>
          <w:szCs w:val="24"/>
        </w:rPr>
        <w:t>)</w:t>
      </w:r>
      <w:r w:rsidRPr="003C5C57">
        <w:rPr>
          <w:rFonts w:ascii="Times New Roman" w:hAnsi="Times New Roman"/>
          <w:sz w:val="24"/>
          <w:szCs w:val="24"/>
        </w:rPr>
        <w:t>. A gearing ratio below 25% is typically considered a low-risk by creditors and investors. A</w:t>
      </w:r>
      <w:r w:rsidR="007264CA" w:rsidRPr="003C5C57">
        <w:rPr>
          <w:rFonts w:ascii="Times New Roman" w:hAnsi="Times New Roman"/>
          <w:sz w:val="24"/>
          <w:szCs w:val="24"/>
        </w:rPr>
        <w:t xml:space="preserve"> gearing ratio between 25% and 50% is normal and optimal for an already established company. As seen in the analysis and graphical representation, Uniliver’s 2015 and 2016 GRs lie below 25%. This implies that Uniliver is a low-risk company when examined by investors and creditors. </w:t>
      </w:r>
    </w:p>
    <w:p w:rsidR="009F0C0B" w:rsidRPr="003C5C57" w:rsidRDefault="009F0C0B" w:rsidP="00BA6DE8">
      <w:pPr>
        <w:spacing w:after="0" w:line="480" w:lineRule="auto"/>
        <w:contextualSpacing/>
        <w:rPr>
          <w:rFonts w:ascii="Times New Roman" w:hAnsi="Times New Roman"/>
          <w:b/>
          <w:sz w:val="24"/>
          <w:szCs w:val="24"/>
        </w:rPr>
      </w:pPr>
    </w:p>
    <w:p w:rsidR="00BE42EC" w:rsidRPr="003C5C57" w:rsidRDefault="00BE42EC" w:rsidP="00BA6DE8">
      <w:pPr>
        <w:pStyle w:val="Heading2"/>
        <w:spacing w:line="480" w:lineRule="auto"/>
        <w:contextualSpacing/>
        <w:rPr>
          <w:rFonts w:ascii="Times New Roman" w:hAnsi="Times New Roman"/>
          <w:sz w:val="24"/>
          <w:szCs w:val="24"/>
        </w:rPr>
      </w:pPr>
      <w:bookmarkStart w:id="19" w:name="_Toc528427657"/>
      <w:r w:rsidRPr="003C5C57">
        <w:rPr>
          <w:rFonts w:ascii="Times New Roman" w:hAnsi="Times New Roman"/>
          <w:sz w:val="24"/>
          <w:szCs w:val="24"/>
        </w:rPr>
        <w:t>Conclusion</w:t>
      </w:r>
      <w:bookmarkEnd w:id="19"/>
      <w:r w:rsidRPr="003C5C57">
        <w:rPr>
          <w:rFonts w:ascii="Times New Roman" w:hAnsi="Times New Roman"/>
          <w:sz w:val="24"/>
          <w:szCs w:val="24"/>
        </w:rPr>
        <w:t xml:space="preserve"> </w:t>
      </w:r>
    </w:p>
    <w:p w:rsidR="00B252E3" w:rsidRPr="003C5C57" w:rsidRDefault="0050000F"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Hinged on the inferences, Uniliver has to enhance its OPMR, GMPR, and ROCE ratio to help the company appeal and win back its stakeholders. The firm can accomplish this through the product diversification because the current products are also being manufactured by its rivals </w:t>
      </w:r>
      <w:r w:rsidRPr="003C5C57">
        <w:rPr>
          <w:rFonts w:ascii="Times New Roman" w:hAnsi="Times New Roman"/>
          <w:sz w:val="24"/>
          <w:szCs w:val="24"/>
        </w:rPr>
        <w:lastRenderedPageBreak/>
        <w:t xml:space="preserve">within same industry and market. The competitors manufacture the same products produced by Uniliver at considerable amount and sell at competitive prices within the local and global markets. Their prices are relatively lower as compared to those of Uniliver and this is a threat to the firm. </w:t>
      </w:r>
    </w:p>
    <w:p w:rsidR="00A20B1B" w:rsidRPr="003C5C57" w:rsidRDefault="0050000F"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Uniliver, therefore, must employ other tactics that attempts to curtail such threats. This should be done by having the company adopting such measures that enhance </w:t>
      </w:r>
      <w:r w:rsidR="00B252E3" w:rsidRPr="003C5C57">
        <w:rPr>
          <w:rFonts w:ascii="Times New Roman" w:hAnsi="Times New Roman"/>
          <w:sz w:val="24"/>
          <w:szCs w:val="24"/>
        </w:rPr>
        <w:t xml:space="preserve">the company’s profitability. The company must be aware that its clients remain extremely conscious of the products they are buying from competitors and hence it should address this concern by focusing on the eco-friendly products to create a competitive edge. Uniliver can also thrive the global competition by adopting measures that can match the rivals’ products like being innovative-product manufacturer as consumer seem to have great taste and preference for such products. On the other hand, the competitors of Uniliver needs to remain aware of the weaknesses of the firm and maximize on such weaknesses to counter the influence of Uniliver lest they will be outstripped.  </w:t>
      </w:r>
      <w:r w:rsidRPr="003C5C57">
        <w:rPr>
          <w:rFonts w:ascii="Times New Roman" w:hAnsi="Times New Roman"/>
          <w:sz w:val="24"/>
          <w:szCs w:val="24"/>
        </w:rPr>
        <w:t xml:space="preserve"> </w:t>
      </w:r>
    </w:p>
    <w:p w:rsidR="00A20B1B" w:rsidRPr="003C5C57" w:rsidRDefault="00A20B1B" w:rsidP="00BA6DE8">
      <w:pPr>
        <w:pStyle w:val="Heading2"/>
        <w:spacing w:line="480" w:lineRule="auto"/>
        <w:contextualSpacing/>
        <w:rPr>
          <w:rFonts w:ascii="Times New Roman" w:hAnsi="Times New Roman"/>
          <w:sz w:val="24"/>
          <w:szCs w:val="24"/>
        </w:rPr>
      </w:pPr>
      <w:bookmarkStart w:id="20" w:name="_Toc528427658"/>
      <w:r w:rsidRPr="003C5C57">
        <w:rPr>
          <w:rFonts w:ascii="Times New Roman" w:hAnsi="Times New Roman"/>
          <w:sz w:val="24"/>
          <w:szCs w:val="24"/>
        </w:rPr>
        <w:t>References</w:t>
      </w:r>
      <w:bookmarkEnd w:id="20"/>
      <w:r w:rsidRPr="003C5C57">
        <w:rPr>
          <w:rFonts w:ascii="Times New Roman" w:hAnsi="Times New Roman"/>
          <w:sz w:val="24"/>
          <w:szCs w:val="24"/>
        </w:rPr>
        <w:t xml:space="preserve"> </w:t>
      </w:r>
    </w:p>
    <w:p w:rsidR="00A20B1B" w:rsidRPr="003C5C57" w:rsidRDefault="00A20B1B" w:rsidP="00BA6DE8">
      <w:pPr>
        <w:spacing w:before="100" w:beforeAutospacing="1" w:after="100" w:afterAutospacing="1"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Easton, M., &amp; Sommers, Z. (2018). Financial Statement Analysis &amp; Valuation, 5e.</w:t>
      </w:r>
    </w:p>
    <w:p w:rsidR="00A20B1B" w:rsidRPr="003C5C57" w:rsidRDefault="00A20B1B" w:rsidP="00BA6DE8">
      <w:pPr>
        <w:spacing w:before="100" w:beforeAutospacing="1" w:after="100" w:afterAutospacing="1" w:line="480" w:lineRule="auto"/>
        <w:ind w:left="720" w:hanging="720"/>
        <w:contextualSpacing/>
        <w:jc w:val="both"/>
        <w:rPr>
          <w:rFonts w:ascii="Times New Roman" w:hAnsi="Times New Roman"/>
          <w:b/>
          <w:sz w:val="24"/>
          <w:szCs w:val="24"/>
        </w:rPr>
      </w:pPr>
      <w:r w:rsidRPr="003C5C57">
        <w:rPr>
          <w:rFonts w:ascii="Times New Roman" w:hAnsi="Times New Roman"/>
          <w:color w:val="222222"/>
          <w:sz w:val="24"/>
          <w:szCs w:val="24"/>
          <w:shd w:val="clear" w:color="auto" w:fill="FFFFFF"/>
        </w:rPr>
        <w:t>Feng, M., Li, C., McVay, S. E., &amp; Skaife, H. (2014). Does ineffective internal control over financial reporting affect a firm's operations? Evidence from firms' inventory management. </w:t>
      </w:r>
      <w:r w:rsidRPr="003C5C57">
        <w:rPr>
          <w:rFonts w:ascii="Times New Roman" w:hAnsi="Times New Roman"/>
          <w:i/>
          <w:iCs/>
          <w:color w:val="222222"/>
          <w:sz w:val="24"/>
          <w:szCs w:val="24"/>
          <w:shd w:val="clear" w:color="auto" w:fill="FFFFFF"/>
        </w:rPr>
        <w:t>The Accounting Review</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90</w:t>
      </w:r>
      <w:r w:rsidRPr="003C5C57">
        <w:rPr>
          <w:rFonts w:ascii="Times New Roman" w:hAnsi="Times New Roman"/>
          <w:color w:val="222222"/>
          <w:sz w:val="24"/>
          <w:szCs w:val="24"/>
          <w:shd w:val="clear" w:color="auto" w:fill="FFFFFF"/>
        </w:rPr>
        <w:t>(2), 529-557.</w:t>
      </w:r>
    </w:p>
    <w:p w:rsidR="00A20B1B" w:rsidRPr="003C5C57" w:rsidRDefault="00A20B1B" w:rsidP="00BA6DE8">
      <w:pPr>
        <w:spacing w:before="100" w:beforeAutospacing="1" w:after="100" w:afterAutospacing="1"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Grant, R. M. (2016). </w:t>
      </w:r>
      <w:r w:rsidRPr="003C5C57">
        <w:rPr>
          <w:rFonts w:ascii="Times New Roman" w:hAnsi="Times New Roman"/>
          <w:i/>
          <w:iCs/>
          <w:color w:val="222222"/>
          <w:sz w:val="24"/>
          <w:szCs w:val="24"/>
          <w:shd w:val="clear" w:color="auto" w:fill="FFFFFF"/>
        </w:rPr>
        <w:t>Contemporary strategy analysis: Text and cases edition</w:t>
      </w:r>
      <w:r w:rsidRPr="003C5C57">
        <w:rPr>
          <w:rFonts w:ascii="Times New Roman" w:hAnsi="Times New Roman"/>
          <w:color w:val="222222"/>
          <w:sz w:val="24"/>
          <w:szCs w:val="24"/>
          <w:shd w:val="clear" w:color="auto" w:fill="FFFFFF"/>
        </w:rPr>
        <w:t>. John Wiley &amp; Sons.</w:t>
      </w:r>
    </w:p>
    <w:p w:rsidR="00A20B1B" w:rsidRPr="003C5C57" w:rsidRDefault="00A20B1B" w:rsidP="00BA6DE8">
      <w:pPr>
        <w:spacing w:before="100" w:beforeAutospacing="1" w:after="100" w:afterAutospacing="1"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Minnis, M., &amp; Sutherland, A. (2017). Financial statements as monitoring mechanisms: Evidence from small commercial loans. </w:t>
      </w:r>
      <w:r w:rsidRPr="003C5C57">
        <w:rPr>
          <w:rFonts w:ascii="Times New Roman" w:hAnsi="Times New Roman"/>
          <w:i/>
          <w:iCs/>
          <w:color w:val="222222"/>
          <w:sz w:val="24"/>
          <w:szCs w:val="24"/>
          <w:shd w:val="clear" w:color="auto" w:fill="FFFFFF"/>
        </w:rPr>
        <w:t>Journal of Accounting Research</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55</w:t>
      </w:r>
      <w:r w:rsidRPr="003C5C57">
        <w:rPr>
          <w:rFonts w:ascii="Times New Roman" w:hAnsi="Times New Roman"/>
          <w:color w:val="222222"/>
          <w:sz w:val="24"/>
          <w:szCs w:val="24"/>
          <w:shd w:val="clear" w:color="auto" w:fill="FFFFFF"/>
        </w:rPr>
        <w:t>(1), 197-233.</w:t>
      </w:r>
    </w:p>
    <w:p w:rsidR="00A20B1B" w:rsidRPr="003C5C57" w:rsidRDefault="00A20B1B" w:rsidP="00BA6DE8">
      <w:pPr>
        <w:spacing w:before="100" w:beforeAutospacing="1" w:after="100" w:afterAutospacing="1"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lastRenderedPageBreak/>
        <w:t>Weygandt, J. J., Kimmel, P. D., &amp; Kieso, D. E. (2015). </w:t>
      </w:r>
      <w:r w:rsidRPr="003C5C57">
        <w:rPr>
          <w:rFonts w:ascii="Times New Roman" w:hAnsi="Times New Roman"/>
          <w:i/>
          <w:iCs/>
          <w:color w:val="222222"/>
          <w:sz w:val="24"/>
          <w:szCs w:val="24"/>
          <w:shd w:val="clear" w:color="auto" w:fill="FFFFFF"/>
        </w:rPr>
        <w:t>Financial &amp; managerial accounting</w:t>
      </w:r>
      <w:r w:rsidRPr="003C5C57">
        <w:rPr>
          <w:rFonts w:ascii="Times New Roman" w:hAnsi="Times New Roman"/>
          <w:color w:val="222222"/>
          <w:sz w:val="24"/>
          <w:szCs w:val="24"/>
          <w:shd w:val="clear" w:color="auto" w:fill="FFFFFF"/>
        </w:rPr>
        <w:t>. John Wiley &amp; Sons.</w:t>
      </w: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A20B1B" w:rsidRPr="003C5C57" w:rsidRDefault="00A20B1B" w:rsidP="00BA6DE8">
      <w:pPr>
        <w:spacing w:after="0" w:line="480" w:lineRule="auto"/>
        <w:contextualSpacing/>
        <w:rPr>
          <w:rFonts w:ascii="Times New Roman" w:hAnsi="Times New Roman"/>
          <w:b/>
          <w:sz w:val="24"/>
          <w:szCs w:val="24"/>
        </w:rPr>
      </w:pPr>
    </w:p>
    <w:p w:rsidR="00A20B1B" w:rsidRPr="003C5C57" w:rsidRDefault="00A20B1B" w:rsidP="00BA6DE8">
      <w:pPr>
        <w:spacing w:after="0" w:line="480" w:lineRule="auto"/>
        <w:ind w:firstLine="720"/>
        <w:contextualSpacing/>
        <w:jc w:val="center"/>
        <w:rPr>
          <w:rFonts w:ascii="Times New Roman" w:hAnsi="Times New Roman"/>
          <w:b/>
          <w:sz w:val="24"/>
          <w:szCs w:val="24"/>
        </w:rPr>
      </w:pPr>
    </w:p>
    <w:p w:rsidR="00880244" w:rsidRPr="003C5C57" w:rsidRDefault="00880244" w:rsidP="00BA6DE8">
      <w:pPr>
        <w:pStyle w:val="Heading1"/>
        <w:spacing w:line="480" w:lineRule="auto"/>
        <w:contextualSpacing/>
        <w:rPr>
          <w:rFonts w:ascii="Times New Roman" w:hAnsi="Times New Roman"/>
          <w:sz w:val="24"/>
          <w:szCs w:val="24"/>
        </w:rPr>
      </w:pPr>
      <w:bookmarkStart w:id="21" w:name="_Toc528427659"/>
      <w:r w:rsidRPr="003C5C57">
        <w:rPr>
          <w:rFonts w:ascii="Times New Roman" w:hAnsi="Times New Roman"/>
          <w:sz w:val="24"/>
          <w:szCs w:val="24"/>
        </w:rPr>
        <w:t>Task 2: Budgetary Techniques:</w:t>
      </w:r>
      <w:bookmarkEnd w:id="21"/>
    </w:p>
    <w:p w:rsidR="00880244" w:rsidRPr="003C5C57" w:rsidRDefault="00C5009E" w:rsidP="00BA6DE8">
      <w:pPr>
        <w:pStyle w:val="Heading2"/>
        <w:spacing w:line="480" w:lineRule="auto"/>
        <w:contextualSpacing/>
        <w:rPr>
          <w:rFonts w:ascii="Times New Roman" w:hAnsi="Times New Roman"/>
          <w:sz w:val="24"/>
          <w:szCs w:val="24"/>
        </w:rPr>
      </w:pPr>
      <w:bookmarkStart w:id="22" w:name="_Toc528427660"/>
      <w:r w:rsidRPr="003C5C57">
        <w:rPr>
          <w:rFonts w:ascii="Times New Roman" w:hAnsi="Times New Roman"/>
          <w:sz w:val="24"/>
          <w:szCs w:val="24"/>
        </w:rPr>
        <w:t>Introduction:</w:t>
      </w:r>
      <w:bookmarkEnd w:id="22"/>
      <w:r w:rsidRPr="003C5C57">
        <w:rPr>
          <w:rFonts w:ascii="Times New Roman" w:hAnsi="Times New Roman"/>
          <w:sz w:val="24"/>
          <w:szCs w:val="24"/>
        </w:rPr>
        <w:t xml:space="preserve"> </w:t>
      </w:r>
    </w:p>
    <w:p w:rsidR="004113C2" w:rsidRPr="003C5C57" w:rsidRDefault="00C5009E"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Budget creation is never merely an activity which the Chief Financial Officer (CFO) provides to the company managers to give busy work to the people already extremely busy. A budget remains a detailed financial plan for accomplishing the operational and financial organizational goals. A correct use of budget remains the map of the strategic plan of the company. In the creation of a budget by a large organization, the firm is in essence, developing its goals and objectives to acquire and utilize its resource. A budget once drawn becomes </w:t>
      </w:r>
      <w:r w:rsidRPr="003C5C57">
        <w:rPr>
          <w:rFonts w:ascii="Times New Roman" w:hAnsi="Times New Roman"/>
          <w:sz w:val="24"/>
          <w:szCs w:val="24"/>
        </w:rPr>
        <w:lastRenderedPageBreak/>
        <w:t>increasingly useful</w:t>
      </w:r>
      <w:r w:rsidR="004113C2" w:rsidRPr="003C5C57">
        <w:rPr>
          <w:rFonts w:ascii="Times New Roman" w:hAnsi="Times New Roman"/>
          <w:sz w:val="24"/>
          <w:szCs w:val="24"/>
        </w:rPr>
        <w:t xml:space="preserve"> benchmark for determining how well the moves and actions assumed by management are guaranteeing the attainment of the objectives. </w:t>
      </w:r>
    </w:p>
    <w:p w:rsidR="00E43065" w:rsidRPr="003C5C57" w:rsidRDefault="004113C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 A range of benefits are attributable to budgeting. The activities coordination in the organization between departments are all formalized by budgeting as it aligns such activities to the wider image-the strategic plan of the company. Budgeting avails the assignment of decision-making roles and improves the responsibility of management. The presence of a solid and sound budget ensure that all makers of decisions work towards the shared goal. Moreover, the budget enhances the evaluation of performance-availing a shared base for deliberating on how well the management met their objectives and goals and giving a talking point regarding why real outcomes deviated from the initial budget. </w:t>
      </w:r>
    </w:p>
    <w:p w:rsidR="00C956B6" w:rsidRPr="003C5C57" w:rsidRDefault="004113C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A budget encourages each area within</w:t>
      </w:r>
      <w:r w:rsidR="00C956B6" w:rsidRPr="003C5C57">
        <w:rPr>
          <w:rFonts w:ascii="Times New Roman" w:hAnsi="Times New Roman"/>
          <w:sz w:val="24"/>
          <w:szCs w:val="24"/>
        </w:rPr>
        <w:t xml:space="preserve"> the organization to be increasingly efficient thus rolling up to a greater efficiency business-wide.</w:t>
      </w:r>
      <w:r w:rsidR="005C4420" w:rsidRPr="003C5C57">
        <w:rPr>
          <w:rFonts w:ascii="Times New Roman" w:hAnsi="Times New Roman"/>
          <w:sz w:val="24"/>
          <w:szCs w:val="24"/>
        </w:rPr>
        <w:t xml:space="preserve"> Budgets allow for the control of cost as mangers use it to compare the real expense and to the forecasted expenses and in this process controlling the costs. In absence of budgets, the firm cannot know whether it has made loses to sales or even when the expenses becomes out of control till it is really too late. In this regard, budget exerts control on the performance management as well as cost control. </w:t>
      </w:r>
    </w:p>
    <w:p w:rsidR="005C4420" w:rsidRPr="003C5C57" w:rsidRDefault="005C442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A budget can either have a control or planning choices. In this respect, planning and forecasting assists the present-day corporations to manage their business alongside economic volatility. This is because, from the perspective of planning, a budget remains a glue which makes separate parts of the firm fit together. This makes the budget a harmonizing tool for the strategy of the business with its management, personnel, organizational structure as well as the desired task to be executed for strategy implementation. </w:t>
      </w:r>
      <w:r w:rsidR="009D55FA" w:rsidRPr="003C5C57">
        <w:rPr>
          <w:rFonts w:ascii="Times New Roman" w:hAnsi="Times New Roman"/>
          <w:sz w:val="24"/>
          <w:szCs w:val="24"/>
        </w:rPr>
        <w:t xml:space="preserve">A well-done budget translates into strategic plan for the firm and its programs for implementation into the period-based operational guides to the activities of the company. </w:t>
      </w:r>
      <w:r w:rsidRPr="003C5C57">
        <w:rPr>
          <w:rFonts w:ascii="Times New Roman" w:hAnsi="Times New Roman"/>
          <w:sz w:val="24"/>
          <w:szCs w:val="24"/>
        </w:rPr>
        <w:t xml:space="preserve"> </w:t>
      </w:r>
    </w:p>
    <w:p w:rsidR="00E43065" w:rsidRPr="003C5C57" w:rsidRDefault="009D55FA"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lastRenderedPageBreak/>
        <w:t xml:space="preserve">A budget can also assume a control-side. In this regard, large corporations with complex planning system employ budgets mainly for controls. This include the coordination of dispersed unites of the business and in the later period, to evaluate the performance of those units. </w:t>
      </w:r>
      <w:r w:rsidR="00C956B6" w:rsidRPr="003C5C57">
        <w:rPr>
          <w:rFonts w:ascii="Times New Roman" w:hAnsi="Times New Roman"/>
          <w:sz w:val="24"/>
          <w:szCs w:val="24"/>
        </w:rPr>
        <w:t xml:space="preserve">The creation of an effective budget actually remains a challenging tasks. It calls for more than a crunching numbers and throwing aimlessly out to the organization team. Partaking budgeting procedure or process remains a significant share of the management communication process of the workers. It culminates in group acceptance of goals that have been budgeted. Budgets have to be viewed as being reasonable and fair by workforce whose performance shall be compared to such goals. </w:t>
      </w:r>
    </w:p>
    <w:p w:rsidR="00C5009E" w:rsidRPr="003C5C57" w:rsidRDefault="00C956B6"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creation process of a budget with the team remains a lucrative opportunity for hearing the opinions as well as ideas of the team and to effectively share the vision of the organization with the team. An engaged-team is required since it enables the organization to get their respective buy-in, and it shall culminate in greater success for the firm. </w:t>
      </w:r>
    </w:p>
    <w:p w:rsidR="009D55FA" w:rsidRPr="003C5C57" w:rsidRDefault="00C5009E" w:rsidP="00BA6DE8">
      <w:pPr>
        <w:pStyle w:val="Heading2"/>
        <w:spacing w:line="480" w:lineRule="auto"/>
        <w:contextualSpacing/>
        <w:rPr>
          <w:rFonts w:ascii="Times New Roman" w:hAnsi="Times New Roman"/>
          <w:sz w:val="24"/>
          <w:szCs w:val="24"/>
        </w:rPr>
      </w:pPr>
      <w:bookmarkStart w:id="23" w:name="_Toc528427661"/>
      <w:r w:rsidRPr="003C5C57">
        <w:rPr>
          <w:rFonts w:ascii="Times New Roman" w:hAnsi="Times New Roman"/>
          <w:sz w:val="24"/>
          <w:szCs w:val="24"/>
        </w:rPr>
        <w:t>Budgetary Techniques in a Large Organization</w:t>
      </w:r>
      <w:bookmarkEnd w:id="23"/>
    </w:p>
    <w:p w:rsidR="0009244B" w:rsidRPr="003C5C57" w:rsidRDefault="009D55FA"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There are 4 major </w:t>
      </w:r>
      <w:r w:rsidR="0009244B" w:rsidRPr="003C5C57">
        <w:rPr>
          <w:rFonts w:ascii="Times New Roman" w:hAnsi="Times New Roman"/>
          <w:sz w:val="24"/>
          <w:szCs w:val="24"/>
        </w:rPr>
        <w:t xml:space="preserve">types of budgeting techniques available for large corporations. These techniques include incremental budgeting, value proposition, activity based as well as zero-based budgets. Each of these techniques have merits and criticisms. </w:t>
      </w:r>
    </w:p>
    <w:p w:rsidR="001702D1" w:rsidRPr="003C5C57" w:rsidRDefault="0009244B" w:rsidP="00BA6DE8">
      <w:pPr>
        <w:pStyle w:val="Heading3"/>
        <w:spacing w:line="480" w:lineRule="auto"/>
        <w:contextualSpacing/>
        <w:rPr>
          <w:rFonts w:ascii="Times New Roman" w:hAnsi="Times New Roman"/>
        </w:rPr>
      </w:pPr>
      <w:r w:rsidRPr="003C5C57">
        <w:rPr>
          <w:rFonts w:ascii="Times New Roman" w:hAnsi="Times New Roman"/>
        </w:rPr>
        <w:tab/>
      </w:r>
      <w:bookmarkStart w:id="24" w:name="_Toc528427662"/>
      <w:r w:rsidRPr="003C5C57">
        <w:rPr>
          <w:rFonts w:ascii="Times New Roman" w:hAnsi="Times New Roman"/>
        </w:rPr>
        <w:t>Incremental Budgeting:</w:t>
      </w:r>
      <w:bookmarkEnd w:id="24"/>
      <w:r w:rsidRPr="003C5C57">
        <w:rPr>
          <w:rFonts w:ascii="Times New Roman" w:hAnsi="Times New Roman"/>
        </w:rPr>
        <w:t xml:space="preserve"> </w:t>
      </w:r>
    </w:p>
    <w:p w:rsidR="001702D1" w:rsidRPr="003C5C57" w:rsidRDefault="0009244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This technique takes the previous year’s real figures and subsequently adds/subtracts a % to get the budget of the present year</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de Campos &amp; Rodrigues, 2016</w:t>
      </w:r>
      <w:r w:rsidR="00A3432A" w:rsidRPr="003C5C57">
        <w:rPr>
          <w:rFonts w:ascii="Times New Roman" w:hAnsi="Times New Roman"/>
          <w:sz w:val="24"/>
          <w:szCs w:val="24"/>
        </w:rPr>
        <w:t>)</w:t>
      </w:r>
      <w:r w:rsidRPr="003C5C57">
        <w:rPr>
          <w:rFonts w:ascii="Times New Roman" w:hAnsi="Times New Roman"/>
          <w:sz w:val="24"/>
          <w:szCs w:val="24"/>
        </w:rPr>
        <w:t xml:space="preserve">. </w:t>
      </w:r>
    </w:p>
    <w:p w:rsidR="001702D1" w:rsidRPr="003C5C57" w:rsidRDefault="001702D1" w:rsidP="00BA6DE8">
      <w:pPr>
        <w:pStyle w:val="Heading3"/>
        <w:spacing w:line="480" w:lineRule="auto"/>
        <w:contextualSpacing/>
        <w:rPr>
          <w:rFonts w:ascii="Times New Roman" w:hAnsi="Times New Roman"/>
        </w:rPr>
      </w:pPr>
      <w:bookmarkStart w:id="25" w:name="_Toc528427663"/>
      <w:r w:rsidRPr="003C5C57">
        <w:rPr>
          <w:rFonts w:ascii="Times New Roman" w:hAnsi="Times New Roman"/>
        </w:rPr>
        <w:lastRenderedPageBreak/>
        <w:t>Activity-based budgeting (ABB):</w:t>
      </w:r>
      <w:bookmarkEnd w:id="25"/>
    </w:p>
    <w:p w:rsidR="001702D1" w:rsidRPr="003C5C57" w:rsidRDefault="0009244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Activity-based budgeting (ABB) assumes a top-down budgeting strategy which establishes the input amounts needed to support the outputs or targets the company has set</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de Campos &amp; Rodrigues, 2016</w:t>
      </w:r>
      <w:r w:rsidR="00A3432A" w:rsidRPr="003C5C57">
        <w:rPr>
          <w:rFonts w:ascii="Times New Roman" w:hAnsi="Times New Roman"/>
          <w:sz w:val="24"/>
          <w:szCs w:val="24"/>
        </w:rPr>
        <w:t>)</w:t>
      </w:r>
      <w:r w:rsidRPr="003C5C57">
        <w:rPr>
          <w:rFonts w:ascii="Times New Roman" w:hAnsi="Times New Roman"/>
          <w:sz w:val="24"/>
          <w:szCs w:val="24"/>
        </w:rPr>
        <w:t xml:space="preserve">. </w:t>
      </w:r>
    </w:p>
    <w:p w:rsidR="001702D1" w:rsidRPr="003C5C57" w:rsidRDefault="001702D1" w:rsidP="00BA6DE8">
      <w:pPr>
        <w:pStyle w:val="Heading3"/>
        <w:spacing w:line="480" w:lineRule="auto"/>
        <w:contextualSpacing/>
        <w:rPr>
          <w:rFonts w:ascii="Times New Roman" w:hAnsi="Times New Roman"/>
        </w:rPr>
      </w:pPr>
      <w:bookmarkStart w:id="26" w:name="_Toc528427664"/>
      <w:r w:rsidRPr="003C5C57">
        <w:rPr>
          <w:rFonts w:ascii="Times New Roman" w:hAnsi="Times New Roman"/>
        </w:rPr>
        <w:t>Value Proposition Budgeting</w:t>
      </w:r>
      <w:bookmarkEnd w:id="26"/>
      <w:r w:rsidRPr="003C5C57">
        <w:rPr>
          <w:rFonts w:ascii="Times New Roman" w:hAnsi="Times New Roman"/>
        </w:rPr>
        <w:t xml:space="preserve"> </w:t>
      </w:r>
    </w:p>
    <w:p w:rsidR="001702D1" w:rsidRPr="003C5C57" w:rsidRDefault="0009244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Value proposition budgeting remains a mindset regarding ensuring everything which is entailed in a budget delivers the desired value for a business. It aims at budgeting avoiding unnecessary expenses, however, it is never as clearly aimed at that objective as zero-based technique. </w:t>
      </w:r>
    </w:p>
    <w:p w:rsidR="001702D1" w:rsidRPr="003C5C57" w:rsidRDefault="001702D1" w:rsidP="003C5C57">
      <w:pPr>
        <w:pStyle w:val="Heading3"/>
        <w:rPr>
          <w:rFonts w:ascii="Times New Roman" w:hAnsi="Times New Roman"/>
        </w:rPr>
      </w:pPr>
      <w:bookmarkStart w:id="27" w:name="_Toc528427665"/>
      <w:r w:rsidRPr="003C5C57">
        <w:rPr>
          <w:rFonts w:ascii="Times New Roman" w:hAnsi="Times New Roman"/>
        </w:rPr>
        <w:t>Zero-Based Budgeting</w:t>
      </w:r>
      <w:bookmarkEnd w:id="27"/>
      <w:r w:rsidRPr="003C5C57">
        <w:rPr>
          <w:rFonts w:ascii="Times New Roman" w:hAnsi="Times New Roman"/>
        </w:rPr>
        <w:t xml:space="preserve"> </w:t>
      </w:r>
    </w:p>
    <w:p w:rsidR="004A29AA" w:rsidRPr="003C5C57" w:rsidRDefault="0009244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Zero-based budgeting begins with the budgeter assuming that each department budget at zero mark and has to </w:t>
      </w:r>
      <w:r w:rsidR="00E41AD0" w:rsidRPr="003C5C57">
        <w:rPr>
          <w:rFonts w:ascii="Times New Roman" w:hAnsi="Times New Roman"/>
          <w:sz w:val="24"/>
          <w:szCs w:val="24"/>
        </w:rPr>
        <w:t>rebuild</w:t>
      </w:r>
      <w:r w:rsidRPr="003C5C57">
        <w:rPr>
          <w:rFonts w:ascii="Times New Roman" w:hAnsi="Times New Roman"/>
          <w:sz w:val="24"/>
          <w:szCs w:val="24"/>
        </w:rPr>
        <w:t xml:space="preserve"> from the scratch</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de Campos &amp; Rodrigues, 2016</w:t>
      </w:r>
      <w:r w:rsidR="00A3432A" w:rsidRPr="003C5C57">
        <w:rPr>
          <w:rFonts w:ascii="Times New Roman" w:hAnsi="Times New Roman"/>
          <w:sz w:val="24"/>
          <w:szCs w:val="24"/>
        </w:rPr>
        <w:t>)</w:t>
      </w:r>
      <w:r w:rsidRPr="003C5C57">
        <w:rPr>
          <w:rFonts w:ascii="Times New Roman" w:hAnsi="Times New Roman"/>
          <w:sz w:val="24"/>
          <w:szCs w:val="24"/>
        </w:rPr>
        <w:t>.</w:t>
      </w:r>
      <w:r w:rsidR="00E41AD0" w:rsidRPr="003C5C57">
        <w:rPr>
          <w:rFonts w:ascii="Times New Roman" w:hAnsi="Times New Roman"/>
          <w:sz w:val="24"/>
          <w:szCs w:val="24"/>
        </w:rPr>
        <w:t xml:space="preserve"> </w:t>
      </w:r>
    </w:p>
    <w:p w:rsidR="001702D1" w:rsidRPr="003C5C57" w:rsidRDefault="001702D1" w:rsidP="00BA6DE8">
      <w:pPr>
        <w:pStyle w:val="Heading3"/>
        <w:spacing w:line="480" w:lineRule="auto"/>
        <w:contextualSpacing/>
        <w:rPr>
          <w:rFonts w:ascii="Times New Roman" w:hAnsi="Times New Roman"/>
        </w:rPr>
      </w:pPr>
      <w:bookmarkStart w:id="28" w:name="_Toc528427666"/>
      <w:r w:rsidRPr="003C5C57">
        <w:rPr>
          <w:rFonts w:ascii="Times New Roman" w:hAnsi="Times New Roman"/>
        </w:rPr>
        <w:t>Other techniques:</w:t>
      </w:r>
      <w:bookmarkEnd w:id="28"/>
      <w:r w:rsidRPr="003C5C57">
        <w:rPr>
          <w:rFonts w:ascii="Times New Roman" w:hAnsi="Times New Roman"/>
        </w:rPr>
        <w:t xml:space="preserve"> </w:t>
      </w:r>
    </w:p>
    <w:p w:rsidR="001702D1" w:rsidRPr="003C5C57" w:rsidRDefault="00E41AD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Other techniques include imposed budgeting, negotiated budgeted, and participatory budgeting, all of which categorized based on level of involvement in the process of budgeting. </w:t>
      </w:r>
      <w:r w:rsidR="001702D1" w:rsidRPr="003C5C57">
        <w:rPr>
          <w:rStyle w:val="Heading4Char"/>
          <w:rFonts w:ascii="Times New Roman" w:eastAsia="Calibri" w:hAnsi="Times New Roman"/>
          <w:sz w:val="24"/>
          <w:szCs w:val="24"/>
        </w:rPr>
        <w:t>Imposed budgeting</w:t>
      </w:r>
      <w:r w:rsidR="001702D1" w:rsidRPr="003C5C57">
        <w:rPr>
          <w:rFonts w:ascii="Times New Roman" w:hAnsi="Times New Roman"/>
          <w:sz w:val="24"/>
          <w:szCs w:val="24"/>
        </w:rPr>
        <w:t xml:space="preserve"> </w:t>
      </w:r>
    </w:p>
    <w:p w:rsidR="001702D1" w:rsidRPr="003C5C57" w:rsidRDefault="00E41AD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Imposed budgeting remains a top-down procedure whereby the executives follow the goals set by them on behalf of the company with managers following goals and subsequently impose targets of budgets for costs and activities</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de Campos &amp; Rodrigues, 2016</w:t>
      </w:r>
      <w:r w:rsidR="00A3432A" w:rsidRPr="003C5C57">
        <w:rPr>
          <w:rFonts w:ascii="Times New Roman" w:hAnsi="Times New Roman"/>
          <w:sz w:val="24"/>
          <w:szCs w:val="24"/>
        </w:rPr>
        <w:t>)</w:t>
      </w:r>
      <w:r w:rsidRPr="003C5C57">
        <w:rPr>
          <w:rFonts w:ascii="Times New Roman" w:hAnsi="Times New Roman"/>
          <w:sz w:val="24"/>
          <w:szCs w:val="24"/>
        </w:rPr>
        <w:t xml:space="preserve">. </w:t>
      </w:r>
    </w:p>
    <w:p w:rsidR="001702D1" w:rsidRPr="003C5C57" w:rsidRDefault="001702D1"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Negotiated budgeting </w:t>
      </w:r>
    </w:p>
    <w:p w:rsidR="001702D1" w:rsidRPr="003C5C57" w:rsidRDefault="00E41AD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Negotiated budgeting combines both bottom-up and top-down techniques. The executive might outline certain targets to be accomplished, however, they will simultaneously have a </w:t>
      </w:r>
      <w:r w:rsidRPr="003C5C57">
        <w:rPr>
          <w:rFonts w:ascii="Times New Roman" w:hAnsi="Times New Roman"/>
          <w:sz w:val="24"/>
          <w:szCs w:val="24"/>
        </w:rPr>
        <w:lastRenderedPageBreak/>
        <w:t xml:space="preserve">common responsibility for preparation of budget between employees and managers. </w:t>
      </w:r>
      <w:r w:rsidR="001702D1" w:rsidRPr="003C5C57">
        <w:rPr>
          <w:rStyle w:val="Heading4Char"/>
          <w:rFonts w:ascii="Times New Roman" w:eastAsia="Calibri" w:hAnsi="Times New Roman"/>
          <w:sz w:val="24"/>
          <w:szCs w:val="24"/>
        </w:rPr>
        <w:t>Participatory budgeting</w:t>
      </w:r>
      <w:r w:rsidR="001702D1" w:rsidRPr="003C5C57">
        <w:rPr>
          <w:rFonts w:ascii="Times New Roman" w:hAnsi="Times New Roman"/>
          <w:sz w:val="24"/>
          <w:szCs w:val="24"/>
        </w:rPr>
        <w:t xml:space="preserve"> </w:t>
      </w:r>
    </w:p>
    <w:p w:rsidR="004A29AA" w:rsidRPr="003C5C57" w:rsidRDefault="00E41AD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Participatory budgeting technique describes a roll-up strategy in which workers work from bottom-up and subsequently suggest targets to their executives. Executive might give certain input, however, they will more/less take suggestions provided by departmental managers alongside other workers.  </w:t>
      </w:r>
    </w:p>
    <w:p w:rsidR="001702D1" w:rsidRPr="003C5C57" w:rsidRDefault="001702D1" w:rsidP="00BA6DE8">
      <w:pPr>
        <w:pStyle w:val="Heading3"/>
        <w:spacing w:line="480" w:lineRule="auto"/>
        <w:contextualSpacing/>
        <w:rPr>
          <w:rFonts w:ascii="Times New Roman" w:hAnsi="Times New Roman"/>
        </w:rPr>
      </w:pPr>
      <w:bookmarkStart w:id="29" w:name="_Toc528427667"/>
      <w:r w:rsidRPr="003C5C57">
        <w:rPr>
          <w:rFonts w:ascii="Times New Roman" w:hAnsi="Times New Roman"/>
        </w:rPr>
        <w:t>Need to Continue Budgeting:</w:t>
      </w:r>
      <w:bookmarkEnd w:id="29"/>
    </w:p>
    <w:p w:rsidR="001E16A2" w:rsidRPr="003C5C57" w:rsidRDefault="001E16A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Companies need to continue to practice budgeting as they examine “operational performance” within the units and divisions. This is important since, in so doing, the company will be able identify the weaknesses and strengths in the budgets and effect the correct course of action. This will enable a continuous planning and control and in the process help the firm avoid unnecessary expenditures.</w:t>
      </w:r>
    </w:p>
    <w:p w:rsidR="001702D1" w:rsidRPr="003C5C57" w:rsidRDefault="001702D1" w:rsidP="00BA6DE8">
      <w:pPr>
        <w:pStyle w:val="Heading3"/>
        <w:spacing w:line="480" w:lineRule="auto"/>
        <w:contextualSpacing/>
        <w:rPr>
          <w:rFonts w:ascii="Times New Roman" w:hAnsi="Times New Roman"/>
        </w:rPr>
      </w:pPr>
      <w:bookmarkStart w:id="30" w:name="_Toc528427668"/>
      <w:r w:rsidRPr="003C5C57">
        <w:rPr>
          <w:rFonts w:ascii="Times New Roman" w:hAnsi="Times New Roman"/>
        </w:rPr>
        <w:t xml:space="preserve">Budgeting </w:t>
      </w:r>
      <w:r w:rsidR="00367BDD" w:rsidRPr="003C5C57">
        <w:rPr>
          <w:rFonts w:ascii="Times New Roman" w:hAnsi="Times New Roman"/>
        </w:rPr>
        <w:t>Criticisms</w:t>
      </w:r>
      <w:bookmarkEnd w:id="30"/>
      <w:r w:rsidR="00367BDD" w:rsidRPr="003C5C57">
        <w:rPr>
          <w:rFonts w:ascii="Times New Roman" w:hAnsi="Times New Roman"/>
        </w:rPr>
        <w:t xml:space="preserve"> </w:t>
      </w:r>
    </w:p>
    <w:p w:rsidR="007A6C06" w:rsidRPr="003C5C57" w:rsidRDefault="001E16A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Budgeting attr</w:t>
      </w:r>
      <w:r w:rsidR="001702D1" w:rsidRPr="003C5C57">
        <w:rPr>
          <w:rFonts w:ascii="Times New Roman" w:hAnsi="Times New Roman"/>
          <w:sz w:val="24"/>
          <w:szCs w:val="24"/>
        </w:rPr>
        <w:t>acts various criticisms. The CFO</w:t>
      </w:r>
      <w:r w:rsidRPr="003C5C57">
        <w:rPr>
          <w:rFonts w:ascii="Times New Roman" w:hAnsi="Times New Roman"/>
          <w:sz w:val="24"/>
          <w:szCs w:val="24"/>
        </w:rPr>
        <w:t xml:space="preserve"> remains under immense pressure of improved budgetary control since the present-day budgets are utilized for planning and evaluating performance of actual business</w:t>
      </w:r>
      <w:r w:rsidR="00ED4877" w:rsidRPr="003C5C57">
        <w:rPr>
          <w:rFonts w:ascii="Times New Roman" w:hAnsi="Times New Roman"/>
          <w:sz w:val="24"/>
          <w:szCs w:val="24"/>
        </w:rPr>
        <w:t xml:space="preserve"> (</w:t>
      </w:r>
      <w:r w:rsidR="00ED4877" w:rsidRPr="003C5C57">
        <w:rPr>
          <w:rFonts w:ascii="Times New Roman" w:hAnsi="Times New Roman"/>
          <w:color w:val="222222"/>
          <w:sz w:val="24"/>
          <w:szCs w:val="24"/>
          <w:shd w:val="clear" w:color="auto" w:fill="FFFFFF"/>
        </w:rPr>
        <w:t>Segun &amp; Olamide, 2015</w:t>
      </w:r>
      <w:r w:rsidR="00ED4877" w:rsidRPr="003C5C57">
        <w:rPr>
          <w:rFonts w:ascii="Times New Roman" w:hAnsi="Times New Roman"/>
          <w:sz w:val="24"/>
          <w:szCs w:val="24"/>
        </w:rPr>
        <w:t>)</w:t>
      </w:r>
      <w:r w:rsidRPr="003C5C57">
        <w:rPr>
          <w:rFonts w:ascii="Times New Roman" w:hAnsi="Times New Roman"/>
          <w:sz w:val="24"/>
          <w:szCs w:val="24"/>
        </w:rPr>
        <w:t xml:space="preserve">. Budgets, true enough, have the capacity to tell stakeholders various things since they are able to tie different business organization parts together. Though this budgeting practice has been ongoing for an extended time, and various attempts have been done to try to enhance budgets, budgeting is still facing a number of constraints by criticisms: The three common criticisms of present-day practice include reduced budget value, centralized decision making imposition and </w:t>
      </w:r>
      <w:r w:rsidR="007A6C06" w:rsidRPr="003C5C57">
        <w:rPr>
          <w:rFonts w:ascii="Times New Roman" w:hAnsi="Times New Roman"/>
          <w:sz w:val="24"/>
          <w:szCs w:val="24"/>
        </w:rPr>
        <w:t xml:space="preserve">tendency of making individual feel undervalued. </w:t>
      </w:r>
    </w:p>
    <w:p w:rsidR="007A6C06" w:rsidRPr="003C5C57" w:rsidRDefault="007A6C06"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lastRenderedPageBreak/>
        <w:t xml:space="preserve">In </w:t>
      </w:r>
      <w:r w:rsidR="00493ADA" w:rsidRPr="003C5C57">
        <w:rPr>
          <w:rFonts w:ascii="Times New Roman" w:hAnsi="Times New Roman"/>
          <w:sz w:val="24"/>
          <w:szCs w:val="24"/>
        </w:rPr>
        <w:t>respect</w:t>
      </w:r>
      <w:r w:rsidRPr="003C5C57">
        <w:rPr>
          <w:rFonts w:ascii="Times New Roman" w:hAnsi="Times New Roman"/>
          <w:sz w:val="24"/>
          <w:szCs w:val="24"/>
        </w:rPr>
        <w:t xml:space="preserve"> of tendency of making individual undervalued; because of the ability of the budget to impose vertical control and control nature of budget, they are criticized for reinforcing departmental obstacles rather than battling to eliminate these barriers. In this regard, budgeting has a tendency of losing its emphasis in the creating value within the firm which significant bars workers from making best feasible decision. Departments that fail to get a budget they believe they deserve will subsequently feel undervalued which brings dire consequences in respect of their performance. </w:t>
      </w:r>
    </w:p>
    <w:p w:rsidR="00DF2BFC" w:rsidRPr="003C5C57" w:rsidRDefault="007A6C06"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In terms of decreased value of budget, budgeting preparation consume a lot of time which is never profitable for organizations. Many budgets, most importantly, stay updated solely per year thus assumption arising from such budgets are in essence obsolete. </w:t>
      </w:r>
      <w:r w:rsidR="00DF2BFC" w:rsidRPr="003C5C57">
        <w:rPr>
          <w:rFonts w:ascii="Times New Roman" w:hAnsi="Times New Roman"/>
          <w:sz w:val="24"/>
          <w:szCs w:val="24"/>
        </w:rPr>
        <w:t xml:space="preserve">Conventional budgeting is criticized for inability to forecast various uncertainties in a diverse as well quick speed surrounding. Furthermore, if individual engaged in budgeting process lack standards for prediction or forecasting, the resulting budget will definitely fall short of being applied as a sensible performance standard upon which the firm preparers can be held accountable. This regard makes budgeting to have no value at all. </w:t>
      </w:r>
    </w:p>
    <w:p w:rsidR="007B4F34" w:rsidRPr="003C5C57" w:rsidRDefault="00DF2BFC"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In respect to imposing of centralized decision-making, effective budgetary control will imply imposing a center-oriented control and command. This will usually imply increased emphasis on reductions of costs instead of creating value. Even though this does not mean to its bad to reduce costs, such a focus might occasionally impede the strategic goals’ achievement. This is due to the tendency to limit the ability of being increasingly agile that promote change hence preventing desired changes. Moreover, a budget is able to focus solely on financial performance with extremely low level of emphasis on other critical non-financial organizational goals. </w:t>
      </w:r>
    </w:p>
    <w:p w:rsidR="001702D1" w:rsidRPr="003C5C57" w:rsidRDefault="001702D1" w:rsidP="00BA6DE8">
      <w:pPr>
        <w:pStyle w:val="Heading3"/>
        <w:spacing w:line="480" w:lineRule="auto"/>
        <w:contextualSpacing/>
        <w:rPr>
          <w:rFonts w:ascii="Times New Roman" w:hAnsi="Times New Roman"/>
        </w:rPr>
      </w:pPr>
      <w:bookmarkStart w:id="31" w:name="_Toc528427669"/>
      <w:r w:rsidRPr="003C5C57">
        <w:rPr>
          <w:rFonts w:ascii="Times New Roman" w:hAnsi="Times New Roman"/>
        </w:rPr>
        <w:lastRenderedPageBreak/>
        <w:t>Need for Flexible Budgeting</w:t>
      </w:r>
      <w:bookmarkEnd w:id="31"/>
      <w:r w:rsidRPr="003C5C57">
        <w:rPr>
          <w:rFonts w:ascii="Times New Roman" w:hAnsi="Times New Roman"/>
        </w:rPr>
        <w:t xml:space="preserve"> </w:t>
      </w:r>
    </w:p>
    <w:p w:rsidR="00E43065" w:rsidRPr="003C5C57" w:rsidRDefault="007B4F3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Organizations need not to follow conventional techniques of budgeting and this calls for a need for them to stay adaptable to adhere to “flexible budgeting” or fix their organizational behaviors via “operating budgets”. Traditional budgeting do not account for economic uncertainties and this hamper the ability of the firm to achieve the gross revenue mark. The decision-making and public presentation of a firm is thus dependent on the economic system uncertainties that makes the gross revenue and net income to alter</w:t>
      </w:r>
      <w:r w:rsidR="00367BDD" w:rsidRPr="003C5C57">
        <w:rPr>
          <w:rFonts w:ascii="Times New Roman" w:hAnsi="Times New Roman"/>
          <w:sz w:val="24"/>
          <w:szCs w:val="24"/>
        </w:rPr>
        <w:t xml:space="preserve"> (</w:t>
      </w:r>
      <w:r w:rsidR="00367BDD" w:rsidRPr="003C5C57">
        <w:rPr>
          <w:rFonts w:ascii="Times New Roman" w:hAnsi="Times New Roman"/>
          <w:color w:val="222222"/>
          <w:sz w:val="24"/>
          <w:szCs w:val="24"/>
          <w:shd w:val="clear" w:color="auto" w:fill="FFFFFF"/>
        </w:rPr>
        <w:t>Vesty &amp; Brooks, 2017</w:t>
      </w:r>
      <w:r w:rsidR="00367BDD" w:rsidRPr="003C5C57">
        <w:rPr>
          <w:rFonts w:ascii="Times New Roman" w:hAnsi="Times New Roman"/>
          <w:sz w:val="24"/>
          <w:szCs w:val="24"/>
        </w:rPr>
        <w:t>)</w:t>
      </w:r>
      <w:r w:rsidRPr="003C5C57">
        <w:rPr>
          <w:rFonts w:ascii="Times New Roman" w:hAnsi="Times New Roman"/>
          <w:sz w:val="24"/>
          <w:szCs w:val="24"/>
        </w:rPr>
        <w:t xml:space="preserve">. </w:t>
      </w:r>
    </w:p>
    <w:p w:rsidR="00E43065" w:rsidRPr="003C5C57" w:rsidRDefault="007B4F3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As a result of economic uncertainties, traditional budgeting techniques are rendered ineffective thereby necessitating the need for flexible approach to budgeting. This is because traditional budgeting disregards economic ambiance </w:t>
      </w:r>
      <w:r w:rsidR="00112198" w:rsidRPr="003C5C57">
        <w:rPr>
          <w:rFonts w:ascii="Times New Roman" w:hAnsi="Times New Roman"/>
          <w:sz w:val="24"/>
          <w:szCs w:val="24"/>
        </w:rPr>
        <w:t xml:space="preserve">changes in the organization and hence ineffective to allocate costs as these costs are changing and need to be factored in as the firm is operating. This is because movements of economic systems through recession or increasing prices has a consequences on the budget. </w:t>
      </w:r>
    </w:p>
    <w:p w:rsidR="001702D1" w:rsidRPr="003C5C57" w:rsidRDefault="00112198"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Thus, conventional budget is comprised of only one or additional past information about the company to achieve strategic map and is based on one year period and hence silence on economic system changes. This makes the budget </w:t>
      </w:r>
      <w:r w:rsidR="00A43261" w:rsidRPr="003C5C57">
        <w:rPr>
          <w:rFonts w:ascii="Times New Roman" w:hAnsi="Times New Roman"/>
          <w:sz w:val="24"/>
          <w:szCs w:val="24"/>
        </w:rPr>
        <w:t>to be</w:t>
      </w:r>
      <w:r w:rsidRPr="003C5C57">
        <w:rPr>
          <w:rFonts w:ascii="Times New Roman" w:hAnsi="Times New Roman"/>
          <w:sz w:val="24"/>
          <w:szCs w:val="24"/>
        </w:rPr>
        <w:t xml:space="preserve"> fixed and cannot be changed to answer to the changes despite the occurring of unanticipated events. Thus, using a historical information on budgets makes it inaccurate and misleading to the organization leading to wrong decisions. </w:t>
      </w:r>
    </w:p>
    <w:p w:rsidR="00EC7FBD" w:rsidRPr="003C5C57" w:rsidRDefault="00112198"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Continued reliance on traditional budgets’ information leads to unrealistic image of business performance since it is based on outdated information. A continuous operation budgeting is </w:t>
      </w:r>
      <w:r w:rsidR="00EC7FBD" w:rsidRPr="003C5C57">
        <w:rPr>
          <w:rFonts w:ascii="Times New Roman" w:hAnsi="Times New Roman"/>
          <w:sz w:val="24"/>
          <w:szCs w:val="24"/>
        </w:rPr>
        <w:t xml:space="preserve">desirable because it always reviews the effects of uncertainties and factor them as the firm continue with its operations. The firm will be able integrated what they need to do achieve the goals from time to time using the up to date information. Flexible budget gives up to date forecast per month or in every three months as well as re-evaluates the firms’ position. This </w:t>
      </w:r>
      <w:r w:rsidR="00EC7FBD" w:rsidRPr="003C5C57">
        <w:rPr>
          <w:rFonts w:ascii="Times New Roman" w:hAnsi="Times New Roman"/>
          <w:sz w:val="24"/>
          <w:szCs w:val="24"/>
        </w:rPr>
        <w:lastRenderedPageBreak/>
        <w:t xml:space="preserve">allows the organization to know the possibilities of achieving the goals, gauge what has been achieved and what direction or cause of action is required to achieve the unaccomplished goals. This makes the organization to plan well and re-allocate the resources to achieve the planned aims. </w:t>
      </w:r>
    </w:p>
    <w:p w:rsidR="009D55FA" w:rsidRPr="003C5C57" w:rsidRDefault="00EC7FBD"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Flexible budgeting allow the firm to thrive the challenging uncertainties as they are able to re-adjust and search for better ways of achieving the goal set in the budget as they remain flexible to respond to these uncertainties. Flexible budget allows the firm to rapidly respond to chnaging economic uncertainties. Flexible budgeting thus forestalls the limited nature of budgetary controls by allowing the firm to </w:t>
      </w:r>
      <w:r w:rsidR="00A43261" w:rsidRPr="003C5C57">
        <w:rPr>
          <w:rFonts w:ascii="Times New Roman" w:hAnsi="Times New Roman"/>
          <w:sz w:val="24"/>
          <w:szCs w:val="24"/>
        </w:rPr>
        <w:t xml:space="preserve">undertake re-appraisal of its strategies and correctly re-allocate resources to accomplish strategic organizational goals. </w:t>
      </w:r>
      <w:r w:rsidRPr="003C5C57">
        <w:rPr>
          <w:rFonts w:ascii="Times New Roman" w:hAnsi="Times New Roman"/>
          <w:sz w:val="24"/>
          <w:szCs w:val="24"/>
        </w:rPr>
        <w:t xml:space="preserve">     </w:t>
      </w:r>
      <w:r w:rsidR="00112198" w:rsidRPr="003C5C57">
        <w:rPr>
          <w:rFonts w:ascii="Times New Roman" w:hAnsi="Times New Roman"/>
          <w:sz w:val="24"/>
          <w:szCs w:val="24"/>
        </w:rPr>
        <w:t xml:space="preserve"> </w:t>
      </w:r>
      <w:r w:rsidR="007B4F34" w:rsidRPr="003C5C57">
        <w:rPr>
          <w:rFonts w:ascii="Times New Roman" w:hAnsi="Times New Roman"/>
          <w:sz w:val="24"/>
          <w:szCs w:val="24"/>
        </w:rPr>
        <w:t xml:space="preserve">    </w:t>
      </w:r>
      <w:r w:rsidR="00DF2BFC" w:rsidRPr="003C5C57">
        <w:rPr>
          <w:rFonts w:ascii="Times New Roman" w:hAnsi="Times New Roman"/>
          <w:sz w:val="24"/>
          <w:szCs w:val="24"/>
        </w:rPr>
        <w:t xml:space="preserve">  </w:t>
      </w:r>
      <w:r w:rsidR="007A6C06" w:rsidRPr="003C5C57">
        <w:rPr>
          <w:rFonts w:ascii="Times New Roman" w:hAnsi="Times New Roman"/>
          <w:sz w:val="24"/>
          <w:szCs w:val="24"/>
        </w:rPr>
        <w:t xml:space="preserve"> </w:t>
      </w:r>
      <w:r w:rsidR="001E16A2" w:rsidRPr="003C5C57">
        <w:rPr>
          <w:rFonts w:ascii="Times New Roman" w:hAnsi="Times New Roman"/>
          <w:sz w:val="24"/>
          <w:szCs w:val="24"/>
        </w:rPr>
        <w:t xml:space="preserve">       </w:t>
      </w:r>
      <w:r w:rsidR="0009244B" w:rsidRPr="003C5C57">
        <w:rPr>
          <w:rFonts w:ascii="Times New Roman" w:hAnsi="Times New Roman"/>
          <w:sz w:val="24"/>
          <w:szCs w:val="24"/>
        </w:rPr>
        <w:t xml:space="preserve"> </w:t>
      </w:r>
    </w:p>
    <w:p w:rsidR="001702D1" w:rsidRPr="003C5C57" w:rsidRDefault="009D55FA" w:rsidP="00BA6DE8">
      <w:pPr>
        <w:pStyle w:val="Heading3"/>
        <w:spacing w:line="480" w:lineRule="auto"/>
        <w:contextualSpacing/>
        <w:rPr>
          <w:rFonts w:ascii="Times New Roman" w:hAnsi="Times New Roman"/>
        </w:rPr>
      </w:pPr>
      <w:r w:rsidRPr="003C5C57">
        <w:rPr>
          <w:rFonts w:ascii="Times New Roman" w:hAnsi="Times New Roman"/>
        </w:rPr>
        <w:tab/>
      </w:r>
      <w:bookmarkStart w:id="32" w:name="_Toc528427670"/>
      <w:r w:rsidR="001702D1" w:rsidRPr="003C5C57">
        <w:rPr>
          <w:rFonts w:ascii="Times New Roman" w:hAnsi="Times New Roman"/>
        </w:rPr>
        <w:t>Examples of Success and Failed Companies</w:t>
      </w:r>
      <w:bookmarkEnd w:id="32"/>
      <w:r w:rsidR="001702D1" w:rsidRPr="003C5C57">
        <w:rPr>
          <w:rFonts w:ascii="Times New Roman" w:hAnsi="Times New Roman"/>
        </w:rPr>
        <w:t xml:space="preserve"> </w:t>
      </w:r>
    </w:p>
    <w:p w:rsidR="001702D1" w:rsidRPr="003C5C57" w:rsidRDefault="00995F61"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Various companies have succeeded while other have failed to perform and subsequently deliver outcomes even</w:t>
      </w:r>
      <w:r w:rsidR="0079676B" w:rsidRPr="003C5C57">
        <w:rPr>
          <w:rFonts w:ascii="Times New Roman" w:hAnsi="Times New Roman"/>
          <w:sz w:val="24"/>
          <w:szCs w:val="24"/>
        </w:rPr>
        <w:t xml:space="preserve"> with strong budgeting culture. </w:t>
      </w:r>
    </w:p>
    <w:p w:rsidR="001702D1" w:rsidRPr="003C5C57" w:rsidRDefault="0079676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For example, 3G has succeeded by transforming rapidly the consumer industry. It achieved this by using zero-based budgeting technique. Through this, the 3G has slashed costs, cut jobs and raised profit margins. The firm has succeeded in this industry buffeted by slower growth as well as altering habits of the consumer. This has made investors to cheer 3G’s austere management discipline which included its strategy of zero-based budgeting. This has made its competitors to recoil at what they perceive as the best model that eventually destroys their businesses via investment starvation.  </w:t>
      </w:r>
    </w:p>
    <w:p w:rsidR="00995F61" w:rsidRPr="003C5C57" w:rsidRDefault="00BA2703"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Uniliver</w:t>
      </w:r>
      <w:r w:rsidR="001702D1" w:rsidRPr="003C5C57">
        <w:rPr>
          <w:rFonts w:ascii="Times New Roman" w:hAnsi="Times New Roman"/>
          <w:sz w:val="24"/>
          <w:szCs w:val="24"/>
        </w:rPr>
        <w:t>,</w:t>
      </w:r>
      <w:r w:rsidRPr="003C5C57">
        <w:rPr>
          <w:rFonts w:ascii="Times New Roman" w:hAnsi="Times New Roman"/>
          <w:sz w:val="24"/>
          <w:szCs w:val="24"/>
        </w:rPr>
        <w:t xml:space="preserve"> for example, has failed before in its budgeting and this is why it was almost being taken over by Kraft Heinz. The company failed due to being under intense pressure to increase profits because the private equity firm, 3G and alongside US Kraft Heinz shelved their attempts to buy Uniliver and the </w:t>
      </w:r>
      <w:r w:rsidR="00493ADA" w:rsidRPr="003C5C57">
        <w:rPr>
          <w:rFonts w:ascii="Times New Roman" w:hAnsi="Times New Roman"/>
          <w:sz w:val="24"/>
          <w:szCs w:val="24"/>
        </w:rPr>
        <w:t>takeover</w:t>
      </w:r>
      <w:r w:rsidRPr="003C5C57">
        <w:rPr>
          <w:rFonts w:ascii="Times New Roman" w:hAnsi="Times New Roman"/>
          <w:sz w:val="24"/>
          <w:szCs w:val="24"/>
        </w:rPr>
        <w:t xml:space="preserve"> would have done serious harm. Uniliver used </w:t>
      </w:r>
      <w:r w:rsidRPr="003C5C57">
        <w:rPr>
          <w:rFonts w:ascii="Times New Roman" w:hAnsi="Times New Roman"/>
          <w:sz w:val="24"/>
          <w:szCs w:val="24"/>
        </w:rPr>
        <w:lastRenderedPageBreak/>
        <w:t xml:space="preserve">traditional budgets instead of flexible budget and hence, relied on historical outdated information to make its decisions. This made it ineffective to come up with better strategies since it was using outdated information which definitely led to poor and misleading decisions made. </w:t>
      </w:r>
      <w:r w:rsidR="0079676B" w:rsidRPr="003C5C57">
        <w:rPr>
          <w:rFonts w:ascii="Times New Roman" w:hAnsi="Times New Roman"/>
          <w:sz w:val="24"/>
          <w:szCs w:val="24"/>
        </w:rPr>
        <w:t xml:space="preserve"> </w:t>
      </w:r>
    </w:p>
    <w:p w:rsidR="0050000F" w:rsidRPr="003C5C57" w:rsidRDefault="00BA2703" w:rsidP="00BA6DE8">
      <w:pPr>
        <w:pStyle w:val="Heading2"/>
        <w:spacing w:line="480" w:lineRule="auto"/>
        <w:contextualSpacing/>
        <w:rPr>
          <w:rFonts w:ascii="Times New Roman" w:hAnsi="Times New Roman"/>
          <w:sz w:val="24"/>
          <w:szCs w:val="24"/>
        </w:rPr>
      </w:pPr>
      <w:bookmarkStart w:id="33" w:name="_Toc528427671"/>
      <w:r w:rsidRPr="003C5C57">
        <w:rPr>
          <w:rFonts w:ascii="Times New Roman" w:hAnsi="Times New Roman"/>
          <w:sz w:val="24"/>
          <w:szCs w:val="24"/>
        </w:rPr>
        <w:t>Comprehensive Budgeting Techniques:</w:t>
      </w:r>
      <w:bookmarkEnd w:id="33"/>
    </w:p>
    <w:p w:rsidR="00684A7B" w:rsidRPr="003C5C57" w:rsidRDefault="00BA2703" w:rsidP="00BA6DE8">
      <w:pPr>
        <w:spacing w:after="0" w:line="480" w:lineRule="auto"/>
        <w:contextualSpacing/>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A comprehensive budget is that which covers all elements of financial life and inclusive of a forecast of recurring expenses and incomes alongside non-recurring spending</w:t>
      </w:r>
      <w:r w:rsidR="00367BDD" w:rsidRPr="003C5C57">
        <w:rPr>
          <w:rFonts w:ascii="Times New Roman" w:hAnsi="Times New Roman"/>
          <w:sz w:val="24"/>
          <w:szCs w:val="24"/>
        </w:rPr>
        <w:t xml:space="preserve"> (</w:t>
      </w:r>
      <w:r w:rsidR="00367BDD" w:rsidRPr="003C5C57">
        <w:rPr>
          <w:rFonts w:ascii="Times New Roman" w:hAnsi="Times New Roman"/>
          <w:color w:val="222222"/>
          <w:sz w:val="24"/>
          <w:szCs w:val="24"/>
          <w:shd w:val="clear" w:color="auto" w:fill="FFFFFF"/>
        </w:rPr>
        <w:t>Marshall, 2016</w:t>
      </w:r>
      <w:r w:rsidR="00367BDD" w:rsidRPr="003C5C57">
        <w:rPr>
          <w:rFonts w:ascii="Times New Roman" w:hAnsi="Times New Roman"/>
          <w:sz w:val="24"/>
          <w:szCs w:val="24"/>
        </w:rPr>
        <w:t>)</w:t>
      </w:r>
      <w:r w:rsidRPr="003C5C57">
        <w:rPr>
          <w:rFonts w:ascii="Times New Roman" w:hAnsi="Times New Roman"/>
          <w:sz w:val="24"/>
          <w:szCs w:val="24"/>
        </w:rPr>
        <w:t>.</w:t>
      </w:r>
      <w:r w:rsidR="00684A7B" w:rsidRPr="003C5C57">
        <w:rPr>
          <w:rFonts w:ascii="Times New Roman" w:hAnsi="Times New Roman"/>
          <w:sz w:val="24"/>
          <w:szCs w:val="24"/>
        </w:rPr>
        <w:t xml:space="preserve"> A comprehensive budgeting can be illustrated as follows: </w:t>
      </w:r>
    </w:p>
    <w:p w:rsidR="00684A7B" w:rsidRPr="003C5C57" w:rsidRDefault="008558E1" w:rsidP="00BA6DE8">
      <w:pPr>
        <w:spacing w:after="0" w:line="480" w:lineRule="auto"/>
        <w:contextualSpacing/>
        <w:rPr>
          <w:rFonts w:ascii="Times New Roman" w:hAnsi="Times New Roman"/>
          <w:sz w:val="24"/>
          <w:szCs w:val="24"/>
        </w:rPr>
      </w:pPr>
      <w:r w:rsidRPr="003C5C57">
        <w:rPr>
          <w:rFonts w:ascii="Times New Roman" w:hAnsi="Times New Roman"/>
          <w:noProof/>
          <w:sz w:val="24"/>
          <w:szCs w:val="24"/>
        </w:rPr>
        <w:drawing>
          <wp:inline distT="0" distB="0" distL="0" distR="0">
            <wp:extent cx="5325745" cy="2962910"/>
            <wp:effectExtent l="0" t="0" r="0" b="0"/>
            <wp:docPr id="1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25745" cy="2962910"/>
                    </a:xfrm>
                    <a:prstGeom prst="rect">
                      <a:avLst/>
                    </a:prstGeom>
                    <a:noFill/>
                    <a:ln>
                      <a:noFill/>
                    </a:ln>
                  </pic:spPr>
                </pic:pic>
              </a:graphicData>
            </a:graphic>
          </wp:inline>
        </w:drawing>
      </w:r>
    </w:p>
    <w:p w:rsidR="00E43065" w:rsidRPr="003C5C57" w:rsidRDefault="00684A7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The above diagram indicates that a comprehensive budget compiles an operating budget for the short-term goals that involve items recurring as well as capital budget for a long-run goal comprising of non-recurring items</w:t>
      </w:r>
      <w:r w:rsidR="00367BDD" w:rsidRPr="003C5C57">
        <w:rPr>
          <w:rFonts w:ascii="Times New Roman" w:hAnsi="Times New Roman"/>
          <w:sz w:val="24"/>
          <w:szCs w:val="24"/>
        </w:rPr>
        <w:t xml:space="preserve"> (</w:t>
      </w:r>
      <w:r w:rsidR="00367BDD" w:rsidRPr="003C5C57">
        <w:rPr>
          <w:rFonts w:ascii="Times New Roman" w:hAnsi="Times New Roman"/>
          <w:color w:val="222222"/>
          <w:sz w:val="24"/>
          <w:szCs w:val="24"/>
          <w:shd w:val="clear" w:color="auto" w:fill="FFFFFF"/>
        </w:rPr>
        <w:t>de Campos &amp; Rodrigues, 2016</w:t>
      </w:r>
      <w:r w:rsidR="00367BDD" w:rsidRPr="003C5C57">
        <w:rPr>
          <w:rFonts w:ascii="Times New Roman" w:hAnsi="Times New Roman"/>
          <w:sz w:val="24"/>
          <w:szCs w:val="24"/>
        </w:rPr>
        <w:t>)</w:t>
      </w:r>
      <w:r w:rsidRPr="003C5C57">
        <w:rPr>
          <w:rFonts w:ascii="Times New Roman" w:hAnsi="Times New Roman"/>
          <w:sz w:val="24"/>
          <w:szCs w:val="24"/>
        </w:rPr>
        <w:t>. A comprehensive business budgeting/profit planning/</w:t>
      </w:r>
      <w:r w:rsidR="00493ADA" w:rsidRPr="003C5C57">
        <w:rPr>
          <w:rFonts w:ascii="Times New Roman" w:hAnsi="Times New Roman"/>
          <w:sz w:val="24"/>
          <w:szCs w:val="24"/>
        </w:rPr>
        <w:t xml:space="preserve">master budgeting remains an important technique in tool box of management accounting. A comprehensive budgeting is important since it helps in obtaining a measure of the influence of interconnected decisions on the net income, cash flow and financial position. </w:t>
      </w:r>
    </w:p>
    <w:p w:rsidR="00BA2703" w:rsidRPr="003C5C57" w:rsidRDefault="00493ADA"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lastRenderedPageBreak/>
        <w:t xml:space="preserve">A comprehensive budgeting is also important because it allows the recognition or enhancement of organizational structure and increased focus on long-term objectives setting. Also, it leads to increased motivation to accomplish objectives and also for explicit acknowledgement of critical decision relationships. It also leads to better coordination of activities by managers and also improved performance of profit. A comprehensive budget also leads to better evaluation of performance. </w:t>
      </w:r>
    </w:p>
    <w:p w:rsidR="00493ADA" w:rsidRPr="003C5C57" w:rsidRDefault="00493ADA"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Amongst the accounting tools of management, comprehensive budgeting remains the most powerful as well as useful </w:t>
      </w:r>
      <w:r w:rsidR="00635CC2" w:rsidRPr="003C5C57">
        <w:rPr>
          <w:rFonts w:ascii="Times New Roman" w:hAnsi="Times New Roman"/>
          <w:sz w:val="24"/>
          <w:szCs w:val="24"/>
        </w:rPr>
        <w:t xml:space="preserve">tool in decision making. Indeed, no other tool or technique remains as comprehensive in its scope and indirectly and directly touches all decisions reached in the business. A comprehensive budgeting thus brings into the process of planning a logical as well as orderly procedure to making decision. </w:t>
      </w:r>
    </w:p>
    <w:p w:rsidR="00BA2703" w:rsidRPr="003C5C57" w:rsidRDefault="00BA2703" w:rsidP="00BA6DE8">
      <w:pPr>
        <w:pStyle w:val="Heading3"/>
        <w:spacing w:line="480" w:lineRule="auto"/>
        <w:contextualSpacing/>
        <w:rPr>
          <w:rFonts w:ascii="Times New Roman" w:hAnsi="Times New Roman"/>
        </w:rPr>
      </w:pPr>
      <w:bookmarkStart w:id="34" w:name="_Toc528427672"/>
      <w:r w:rsidRPr="003C5C57">
        <w:rPr>
          <w:rFonts w:ascii="Times New Roman" w:hAnsi="Times New Roman"/>
        </w:rPr>
        <w:t>Revenue Budgets</w:t>
      </w:r>
      <w:bookmarkEnd w:id="34"/>
    </w:p>
    <w:p w:rsidR="00BA2703" w:rsidRPr="003C5C57" w:rsidRDefault="00792964" w:rsidP="00BA6DE8">
      <w:pPr>
        <w:spacing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These are projections of the sales revenues al</w:t>
      </w:r>
      <w:r w:rsidR="005A44BB" w:rsidRPr="003C5C57">
        <w:rPr>
          <w:rFonts w:ascii="Times New Roman" w:hAnsi="Times New Roman"/>
          <w:sz w:val="24"/>
          <w:szCs w:val="24"/>
        </w:rPr>
        <w:t>ongside spending of the company together with the capital-associated spending</w:t>
      </w:r>
      <w:r w:rsidR="00367BDD" w:rsidRPr="003C5C57">
        <w:rPr>
          <w:rFonts w:ascii="Times New Roman" w:hAnsi="Times New Roman"/>
          <w:sz w:val="24"/>
          <w:szCs w:val="24"/>
        </w:rPr>
        <w:t xml:space="preserve"> (</w:t>
      </w:r>
      <w:r w:rsidR="00367BDD" w:rsidRPr="003C5C57">
        <w:rPr>
          <w:rFonts w:ascii="Times New Roman" w:hAnsi="Times New Roman"/>
          <w:color w:val="222222"/>
          <w:sz w:val="24"/>
          <w:szCs w:val="24"/>
          <w:shd w:val="clear" w:color="auto" w:fill="FFFFFF"/>
        </w:rPr>
        <w:t>El Haddad, 2015</w:t>
      </w:r>
      <w:r w:rsidR="00367BDD" w:rsidRPr="003C5C57">
        <w:rPr>
          <w:rFonts w:ascii="Times New Roman" w:hAnsi="Times New Roman"/>
          <w:sz w:val="24"/>
          <w:szCs w:val="24"/>
        </w:rPr>
        <w:t>)</w:t>
      </w:r>
      <w:r w:rsidR="005A44BB" w:rsidRPr="003C5C57">
        <w:rPr>
          <w:rFonts w:ascii="Times New Roman" w:hAnsi="Times New Roman"/>
          <w:sz w:val="24"/>
          <w:szCs w:val="24"/>
        </w:rPr>
        <w:t xml:space="preserve">. It remains necessary that one determined whether the company owns adequate financial mechanism for executing operations, grow its business, and eventually realize a profit. The future of the company might remain uncertain in absence of planning since it will be foolhardy to know the much being invested or spent. Revenue budgets therefore guarantees efficient allocation of resources, and hence help save not only money, but also efforts.  </w:t>
      </w:r>
    </w:p>
    <w:p w:rsidR="005A44BB" w:rsidRPr="003C5C57" w:rsidRDefault="005A44BB" w:rsidP="00BA6DE8">
      <w:pPr>
        <w:spacing w:line="480" w:lineRule="auto"/>
        <w:contextualSpacing/>
        <w:jc w:val="both"/>
        <w:rPr>
          <w:rFonts w:ascii="Times New Roman" w:hAnsi="Times New Roman"/>
          <w:sz w:val="24"/>
          <w:szCs w:val="24"/>
        </w:rPr>
      </w:pPr>
      <w:r w:rsidRPr="003C5C57">
        <w:rPr>
          <w:rFonts w:ascii="Times New Roman" w:hAnsi="Times New Roman"/>
          <w:sz w:val="24"/>
          <w:szCs w:val="24"/>
        </w:rPr>
        <w:tab/>
        <w:t xml:space="preserve">Revenue budgets allows the organization to project the amount to be earned from the sale of their commodities. Plans are reflections of current state of the firm and hence helpful in analyzing each element of a firm with an inclusion of revenue. Sale revenue budget’s construction is straightforward and comprises of the expected number of units to be sold </w:t>
      </w:r>
      <w:r w:rsidRPr="003C5C57">
        <w:rPr>
          <w:rFonts w:ascii="Times New Roman" w:hAnsi="Times New Roman"/>
          <w:sz w:val="24"/>
          <w:szCs w:val="24"/>
        </w:rPr>
        <w:lastRenderedPageBreak/>
        <w:t xml:space="preserve">alongside the expected quantity of customers to by the commodities. It is further comprised of the expected price to be charged for the commodities.     </w:t>
      </w:r>
    </w:p>
    <w:p w:rsidR="00BA2703" w:rsidRPr="003C5C57" w:rsidRDefault="00BA2703" w:rsidP="003C5C57">
      <w:pPr>
        <w:pStyle w:val="Heading3"/>
        <w:rPr>
          <w:rFonts w:ascii="Times New Roman" w:hAnsi="Times New Roman"/>
        </w:rPr>
      </w:pPr>
      <w:bookmarkStart w:id="35" w:name="_Toc528427673"/>
      <w:r w:rsidRPr="003C5C57">
        <w:rPr>
          <w:rStyle w:val="Heading3Char"/>
          <w:rFonts w:ascii="Times New Roman" w:eastAsia="Calibri" w:hAnsi="Times New Roman"/>
        </w:rPr>
        <w:t>Activity-based budgeting (ABB)</w:t>
      </w:r>
      <w:bookmarkEnd w:id="35"/>
      <w:r w:rsidRPr="003C5C57">
        <w:rPr>
          <w:rFonts w:ascii="Times New Roman" w:hAnsi="Times New Roman"/>
        </w:rPr>
        <w:t xml:space="preserve"> </w:t>
      </w:r>
    </w:p>
    <w:p w:rsidR="00792964" w:rsidRPr="003C5C57" w:rsidRDefault="00792964" w:rsidP="00BA6DE8">
      <w:pPr>
        <w:spacing w:line="480" w:lineRule="auto"/>
        <w:contextualSpacing/>
        <w:jc w:val="both"/>
        <w:rPr>
          <w:rFonts w:ascii="Times New Roman" w:hAnsi="Times New Roman"/>
          <w:sz w:val="24"/>
          <w:szCs w:val="24"/>
        </w:rPr>
      </w:pPr>
      <w:r w:rsidRPr="003C5C57">
        <w:rPr>
          <w:rFonts w:ascii="Times New Roman" w:hAnsi="Times New Roman"/>
          <w:sz w:val="24"/>
          <w:szCs w:val="24"/>
        </w:rPr>
        <w:tab/>
        <w:t>ABB assumes a top-down approach to budget and determines the inputs quantity needed to support the outputs or targets the company has set. For instance, a frim can set an output target of 100 million dollars in its revenue projection</w:t>
      </w:r>
      <w:r w:rsidR="00367BDD" w:rsidRPr="003C5C57">
        <w:rPr>
          <w:rFonts w:ascii="Times New Roman" w:hAnsi="Times New Roman"/>
          <w:sz w:val="24"/>
          <w:szCs w:val="24"/>
        </w:rPr>
        <w:t xml:space="preserve"> (</w:t>
      </w:r>
      <w:r w:rsidR="00367BDD" w:rsidRPr="003C5C57">
        <w:rPr>
          <w:rFonts w:ascii="Times New Roman" w:hAnsi="Times New Roman"/>
          <w:color w:val="222222"/>
          <w:sz w:val="24"/>
          <w:szCs w:val="24"/>
          <w:shd w:val="clear" w:color="auto" w:fill="FFFFFF"/>
        </w:rPr>
        <w:t>Cole, 2019</w:t>
      </w:r>
      <w:r w:rsidR="00367BDD" w:rsidRPr="003C5C57">
        <w:rPr>
          <w:rFonts w:ascii="Times New Roman" w:hAnsi="Times New Roman"/>
          <w:sz w:val="24"/>
          <w:szCs w:val="24"/>
        </w:rPr>
        <w:t>)</w:t>
      </w:r>
      <w:r w:rsidRPr="003C5C57">
        <w:rPr>
          <w:rFonts w:ascii="Times New Roman" w:hAnsi="Times New Roman"/>
          <w:sz w:val="24"/>
          <w:szCs w:val="24"/>
        </w:rPr>
        <w:t xml:space="preserve">. The firm shall then require first determination of desired activities to execute to accomplish such sales target, and subsequently establish the cost to undertake such activities. The diagram below illustrate the process involved in ABB: </w:t>
      </w:r>
    </w:p>
    <w:p w:rsidR="00BA2703" w:rsidRPr="003C5C57" w:rsidRDefault="008558E1" w:rsidP="00BA6DE8">
      <w:pPr>
        <w:spacing w:line="480" w:lineRule="auto"/>
        <w:contextualSpacing/>
        <w:rPr>
          <w:rStyle w:val="Heading3Char"/>
          <w:rFonts w:ascii="Times New Roman" w:eastAsia="Calibri" w:hAnsi="Times New Roman"/>
          <w:b/>
          <w:color w:val="auto"/>
        </w:rPr>
      </w:pPr>
      <w:r w:rsidRPr="003C5C57">
        <w:rPr>
          <w:rFonts w:ascii="Times New Roman" w:hAnsi="Times New Roman"/>
          <w:noProof/>
          <w:sz w:val="24"/>
          <w:szCs w:val="24"/>
        </w:rPr>
        <w:drawing>
          <wp:inline distT="0" distB="0" distL="0" distR="0">
            <wp:extent cx="5947410" cy="3657600"/>
            <wp:effectExtent l="0" t="0" r="0" b="0"/>
            <wp:docPr id="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7410" cy="3657600"/>
                    </a:xfrm>
                    <a:prstGeom prst="rect">
                      <a:avLst/>
                    </a:prstGeom>
                    <a:noFill/>
                    <a:ln>
                      <a:noFill/>
                    </a:ln>
                  </pic:spPr>
                </pic:pic>
              </a:graphicData>
            </a:graphic>
          </wp:inline>
        </w:drawing>
      </w:r>
    </w:p>
    <w:p w:rsidR="00BA2703" w:rsidRPr="003C5C57" w:rsidRDefault="00BA2703" w:rsidP="00BA6DE8">
      <w:pPr>
        <w:pStyle w:val="Heading3"/>
        <w:spacing w:line="480" w:lineRule="auto"/>
        <w:contextualSpacing/>
        <w:rPr>
          <w:rStyle w:val="Heading3Char"/>
          <w:rFonts w:ascii="Times New Roman" w:eastAsia="Calibri" w:hAnsi="Times New Roman"/>
        </w:rPr>
      </w:pPr>
      <w:bookmarkStart w:id="36" w:name="_Toc528427674"/>
      <w:r w:rsidRPr="003C5C57">
        <w:rPr>
          <w:rStyle w:val="Heading3Char"/>
          <w:rFonts w:ascii="Times New Roman" w:eastAsia="Calibri" w:hAnsi="Times New Roman"/>
        </w:rPr>
        <w:t>Zero-based Budgeting (ZBB)</w:t>
      </w:r>
      <w:bookmarkEnd w:id="36"/>
    </w:p>
    <w:p w:rsidR="00BA2703" w:rsidRPr="003C5C57" w:rsidRDefault="00635CC2" w:rsidP="00BA6DE8">
      <w:pPr>
        <w:spacing w:line="480" w:lineRule="auto"/>
        <w:contextualSpacing/>
        <w:jc w:val="both"/>
        <w:rPr>
          <w:rStyle w:val="Heading3Char"/>
          <w:rFonts w:ascii="Times New Roman" w:eastAsia="Calibri" w:hAnsi="Times New Roman"/>
          <w:color w:val="000000"/>
        </w:rPr>
      </w:pPr>
      <w:r w:rsidRPr="003C5C57">
        <w:rPr>
          <w:rStyle w:val="Heading3Char"/>
          <w:rFonts w:ascii="Times New Roman" w:eastAsia="Calibri" w:hAnsi="Times New Roman"/>
          <w:b/>
          <w:color w:val="000000"/>
        </w:rPr>
        <w:tab/>
      </w:r>
      <w:bookmarkStart w:id="37" w:name="_Toc528427675"/>
      <w:r w:rsidR="0078727C" w:rsidRPr="003C5C57">
        <w:rPr>
          <w:rStyle w:val="Heading3Char"/>
          <w:rFonts w:ascii="Times New Roman" w:eastAsia="Calibri" w:hAnsi="Times New Roman"/>
          <w:color w:val="000000"/>
        </w:rPr>
        <w:t xml:space="preserve">It is one of the commonly utilized budgeting techniques. ZBB begins by assuming that each department budgets is zero and has to rebuild right from scratch. The managers have to </w:t>
      </w:r>
      <w:r w:rsidR="0078727C" w:rsidRPr="003C5C57">
        <w:rPr>
          <w:rStyle w:val="Heading3Char"/>
          <w:rFonts w:ascii="Times New Roman" w:eastAsia="Calibri" w:hAnsi="Times New Roman"/>
          <w:color w:val="000000"/>
        </w:rPr>
        <w:lastRenderedPageBreak/>
        <w:t>have the ability of justifying each single expenditure</w:t>
      </w:r>
      <w:r w:rsidR="00367BDD" w:rsidRPr="003C5C57">
        <w:rPr>
          <w:rStyle w:val="Heading3Char"/>
          <w:rFonts w:ascii="Times New Roman" w:eastAsia="Calibri" w:hAnsi="Times New Roman"/>
          <w:color w:val="000000"/>
        </w:rPr>
        <w:t xml:space="preserve"> (</w:t>
      </w:r>
      <w:bookmarkEnd w:id="37"/>
      <w:r w:rsidR="00367BDD" w:rsidRPr="003C5C57">
        <w:rPr>
          <w:rFonts w:ascii="Times New Roman" w:hAnsi="Times New Roman"/>
          <w:color w:val="222222"/>
          <w:sz w:val="24"/>
          <w:szCs w:val="24"/>
          <w:shd w:val="clear" w:color="auto" w:fill="FFFFFF"/>
        </w:rPr>
        <w:t>Nnoli, Adeyemi &amp; Onuora, 2016</w:t>
      </w:r>
      <w:r w:rsidR="00367BDD" w:rsidRPr="003C5C57">
        <w:rPr>
          <w:rStyle w:val="Heading3Char"/>
          <w:rFonts w:ascii="Times New Roman" w:eastAsia="Calibri" w:hAnsi="Times New Roman"/>
          <w:color w:val="000000"/>
        </w:rPr>
        <w:t>)</w:t>
      </w:r>
      <w:r w:rsidR="0078727C" w:rsidRPr="003C5C57">
        <w:rPr>
          <w:rStyle w:val="Heading3Char"/>
          <w:rFonts w:ascii="Times New Roman" w:eastAsia="Calibri" w:hAnsi="Times New Roman"/>
          <w:color w:val="000000"/>
        </w:rPr>
        <w:t>. No spending is “</w:t>
      </w:r>
      <w:r w:rsidR="00792964" w:rsidRPr="003C5C57">
        <w:rPr>
          <w:rStyle w:val="Heading3Char"/>
          <w:rFonts w:ascii="Times New Roman" w:eastAsia="Calibri" w:hAnsi="Times New Roman"/>
          <w:color w:val="000000"/>
        </w:rPr>
        <w:t>Okayed</w:t>
      </w:r>
      <w:r w:rsidR="0078727C" w:rsidRPr="003C5C57">
        <w:rPr>
          <w:rStyle w:val="Heading3Char"/>
          <w:rFonts w:ascii="Times New Roman" w:eastAsia="Calibri" w:hAnsi="Times New Roman"/>
          <w:color w:val="000000"/>
        </w:rPr>
        <w:t xml:space="preserve">” automatically. ZBB is extremely stringent/tight, purposing to evade any and each spending which is never absolutely regarded necessary to the successful or profitable operation of the firm. This type of bottom-up budgeting might be an extremely effective mechanisms of shaking things up. The ZBB approach remains an effective tool in case of urgency to contain costs. For instance, in </w:t>
      </w:r>
      <w:r w:rsidR="00792964" w:rsidRPr="003C5C57">
        <w:rPr>
          <w:rStyle w:val="Heading3Char"/>
          <w:rFonts w:ascii="Times New Roman" w:eastAsia="Calibri" w:hAnsi="Times New Roman"/>
          <w:color w:val="000000"/>
        </w:rPr>
        <w:t xml:space="preserve">a scenario where the company is under a financial restructuring or even in a major market or economic downturn requiring such a firm to cut down its budget suddenly. ZBB remains appropriately to address the discretionary costs instead of important operating costs. Nevertheless, ZBB might be highly time-consuming technique, thus several firms solely employ ZBB occasionally. </w:t>
      </w:r>
    </w:p>
    <w:p w:rsidR="00D702CA" w:rsidRPr="003C5C57" w:rsidRDefault="00BA2703" w:rsidP="00BA6DE8">
      <w:pPr>
        <w:pStyle w:val="Heading3"/>
        <w:spacing w:line="480" w:lineRule="auto"/>
        <w:contextualSpacing/>
        <w:rPr>
          <w:rStyle w:val="Heading3Char"/>
          <w:rFonts w:ascii="Times New Roman" w:eastAsia="Calibri" w:hAnsi="Times New Roman"/>
        </w:rPr>
      </w:pPr>
      <w:bookmarkStart w:id="38" w:name="_Toc528427676"/>
      <w:r w:rsidRPr="003C5C57">
        <w:rPr>
          <w:rStyle w:val="Heading3Char"/>
          <w:rFonts w:ascii="Times New Roman" w:eastAsia="Calibri" w:hAnsi="Times New Roman"/>
        </w:rPr>
        <w:t xml:space="preserve">Capital </w:t>
      </w:r>
      <w:r w:rsidR="00586821" w:rsidRPr="003C5C57">
        <w:rPr>
          <w:rStyle w:val="Heading3Char"/>
          <w:rFonts w:ascii="Times New Roman" w:eastAsia="Calibri" w:hAnsi="Times New Roman"/>
        </w:rPr>
        <w:t>Budgeting</w:t>
      </w:r>
      <w:bookmarkEnd w:id="38"/>
    </w:p>
    <w:p w:rsidR="00D702CA" w:rsidRPr="003C5C57" w:rsidRDefault="00D702CA" w:rsidP="00BA6DE8">
      <w:pPr>
        <w:spacing w:line="480" w:lineRule="auto"/>
        <w:contextualSpacing/>
        <w:jc w:val="both"/>
        <w:rPr>
          <w:rStyle w:val="Heading3Char"/>
          <w:rFonts w:ascii="Times New Roman" w:eastAsia="Calibri" w:hAnsi="Times New Roman"/>
          <w:color w:val="000000"/>
        </w:rPr>
      </w:pPr>
      <w:r w:rsidRPr="003C5C57">
        <w:rPr>
          <w:rStyle w:val="Heading3Char"/>
          <w:rFonts w:ascii="Times New Roman" w:eastAsia="Calibri" w:hAnsi="Times New Roman"/>
          <w:b/>
          <w:color w:val="000000"/>
        </w:rPr>
        <w:tab/>
      </w:r>
      <w:bookmarkStart w:id="39" w:name="_Toc528427677"/>
      <w:r w:rsidRPr="003C5C57">
        <w:rPr>
          <w:rStyle w:val="Heading3Char"/>
          <w:rFonts w:ascii="Times New Roman" w:eastAsia="Calibri" w:hAnsi="Times New Roman"/>
          <w:color w:val="000000"/>
        </w:rPr>
        <w:t>It is the process by which an organization determined as well as evaluates large investment or expenditure potential</w:t>
      </w:r>
      <w:r w:rsidR="00586821" w:rsidRPr="003C5C57">
        <w:rPr>
          <w:rStyle w:val="Heading3Char"/>
          <w:rFonts w:ascii="Times New Roman" w:eastAsia="Calibri" w:hAnsi="Times New Roman"/>
          <w:color w:val="000000"/>
        </w:rPr>
        <w:t xml:space="preserve"> (</w:t>
      </w:r>
      <w:bookmarkEnd w:id="39"/>
      <w:r w:rsidR="00586821" w:rsidRPr="003C5C57">
        <w:rPr>
          <w:rFonts w:ascii="Times New Roman" w:hAnsi="Times New Roman"/>
          <w:color w:val="222222"/>
          <w:sz w:val="24"/>
          <w:szCs w:val="24"/>
          <w:shd w:val="clear" w:color="auto" w:fill="FFFFFF"/>
        </w:rPr>
        <w:t>Almazan, Chen &amp; Titman, 2017</w:t>
      </w:r>
      <w:r w:rsidR="00586821" w:rsidRPr="003C5C57">
        <w:rPr>
          <w:rStyle w:val="Heading3Char"/>
          <w:rFonts w:ascii="Times New Roman" w:eastAsia="Calibri" w:hAnsi="Times New Roman"/>
          <w:color w:val="000000"/>
        </w:rPr>
        <w:t>)</w:t>
      </w:r>
      <w:r w:rsidRPr="003C5C57">
        <w:rPr>
          <w:rStyle w:val="Heading3Char"/>
          <w:rFonts w:ascii="Times New Roman" w:eastAsia="Calibri" w:hAnsi="Times New Roman"/>
          <w:color w:val="000000"/>
        </w:rPr>
        <w:t xml:space="preserve">. Usually, the assessment of lifetime cash outflow and cash inflow of prospective project is undertaken in determining whether the potential returns produced are commensurate with the benchmark of the target, also known as appraisal of investment. Examples of such prospective projects might include acquisition, purchase of land and building, deploying smart technologies, developing sustainable facilities, investment in R&amp;D, and green practices.     </w:t>
      </w:r>
    </w:p>
    <w:p w:rsidR="00E43065" w:rsidRPr="003C5C57" w:rsidRDefault="00767743" w:rsidP="00BA6DE8">
      <w:pPr>
        <w:spacing w:line="480" w:lineRule="auto"/>
        <w:contextualSpacing/>
        <w:jc w:val="both"/>
        <w:rPr>
          <w:rStyle w:val="Heading3Char"/>
          <w:rFonts w:ascii="Times New Roman" w:eastAsia="Calibri" w:hAnsi="Times New Roman"/>
          <w:color w:val="000000"/>
        </w:rPr>
      </w:pPr>
      <w:r w:rsidRPr="003C5C57">
        <w:rPr>
          <w:rStyle w:val="Heading3Char"/>
          <w:rFonts w:ascii="Times New Roman" w:eastAsia="Calibri" w:hAnsi="Times New Roman"/>
          <w:color w:val="000000"/>
        </w:rPr>
        <w:tab/>
      </w:r>
      <w:bookmarkStart w:id="40" w:name="_Toc528427678"/>
      <w:r w:rsidRPr="003C5C57">
        <w:rPr>
          <w:rStyle w:val="Heading3Char"/>
          <w:rFonts w:ascii="Times New Roman" w:eastAsia="Calibri" w:hAnsi="Times New Roman"/>
          <w:color w:val="000000"/>
        </w:rPr>
        <w:t xml:space="preserve">There are various techniques used in capital budgeting that help a firm to be confident in the above listed examples of expenditures. These include conventional methods or the non-discount techniques (Payback period (PP), and accounting rate of return ARR) alongside the discounted cash flow approaches like Net Present Value (NPV), internal rate of return </w:t>
      </w:r>
      <w:r w:rsidR="00E43065" w:rsidRPr="003C5C57">
        <w:rPr>
          <w:rStyle w:val="Heading3Char"/>
          <w:rFonts w:ascii="Times New Roman" w:eastAsia="Calibri" w:hAnsi="Times New Roman"/>
          <w:color w:val="000000"/>
        </w:rPr>
        <w:t>(IRR) and Profitability Index.</w:t>
      </w:r>
      <w:bookmarkEnd w:id="40"/>
      <w:r w:rsidR="00E43065" w:rsidRPr="003C5C57">
        <w:rPr>
          <w:rStyle w:val="Heading3Char"/>
          <w:rFonts w:ascii="Times New Roman" w:eastAsia="Calibri" w:hAnsi="Times New Roman"/>
          <w:color w:val="000000"/>
        </w:rPr>
        <w:t xml:space="preserve"> </w:t>
      </w:r>
    </w:p>
    <w:p w:rsidR="00767743" w:rsidRPr="003C5C57" w:rsidRDefault="00767743" w:rsidP="00BA6DE8">
      <w:pPr>
        <w:spacing w:line="480" w:lineRule="auto"/>
        <w:ind w:firstLine="720"/>
        <w:contextualSpacing/>
        <w:jc w:val="both"/>
        <w:rPr>
          <w:rStyle w:val="Heading3Char"/>
          <w:rFonts w:ascii="Times New Roman" w:eastAsia="Calibri" w:hAnsi="Times New Roman"/>
          <w:color w:val="000000"/>
        </w:rPr>
      </w:pPr>
      <w:bookmarkStart w:id="41" w:name="_Toc528427679"/>
      <w:r w:rsidRPr="003C5C57">
        <w:rPr>
          <w:rStyle w:val="Heading3Char"/>
          <w:rFonts w:ascii="Times New Roman" w:eastAsia="Calibri" w:hAnsi="Times New Roman"/>
          <w:color w:val="000000"/>
        </w:rPr>
        <w:lastRenderedPageBreak/>
        <w:t>Payback Period: It describes that period whereby the project shall produce cash that recovers the original investment executed. It primarily focuses on economic life of a project, investment made and cash inflows and stays silent on time value of money. Selection of project using PP is done on the basis of project earning capacity</w:t>
      </w:r>
      <w:r w:rsidR="00586821" w:rsidRPr="003C5C57">
        <w:rPr>
          <w:rStyle w:val="Heading3Char"/>
          <w:rFonts w:ascii="Times New Roman" w:eastAsia="Calibri" w:hAnsi="Times New Roman"/>
          <w:color w:val="000000"/>
        </w:rPr>
        <w:t xml:space="preserve"> (</w:t>
      </w:r>
      <w:bookmarkEnd w:id="41"/>
      <w:r w:rsidR="00586821" w:rsidRPr="003C5C57">
        <w:rPr>
          <w:rFonts w:ascii="Times New Roman" w:hAnsi="Times New Roman"/>
          <w:color w:val="222222"/>
          <w:sz w:val="24"/>
          <w:szCs w:val="24"/>
          <w:shd w:val="clear" w:color="auto" w:fill="FFFFFF"/>
        </w:rPr>
        <w:t>Hayat et al., 2017</w:t>
      </w:r>
      <w:r w:rsidR="00586821" w:rsidRPr="003C5C57">
        <w:rPr>
          <w:rStyle w:val="Heading3Char"/>
          <w:rFonts w:ascii="Times New Roman" w:eastAsia="Calibri" w:hAnsi="Times New Roman"/>
          <w:color w:val="000000"/>
        </w:rPr>
        <w:t>)</w:t>
      </w:r>
      <w:r w:rsidRPr="003C5C57">
        <w:rPr>
          <w:rStyle w:val="Heading3Char"/>
          <w:rFonts w:ascii="Times New Roman" w:eastAsia="Calibri" w:hAnsi="Times New Roman"/>
          <w:color w:val="000000"/>
        </w:rPr>
        <w:t xml:space="preserve">. It used simple computation to reject or accept project based on outcomes that gauge the associated risks of a project proposal.  Nevertheless, it is hinged on thumb rule, and hence disregards the significance of time value of money and, therefore, the relevant profitability dimension. </w:t>
      </w:r>
    </w:p>
    <w:p w:rsidR="000A613D" w:rsidRPr="003C5C57" w:rsidRDefault="000A613D" w:rsidP="00BA6DE8">
      <w:pPr>
        <w:spacing w:line="480" w:lineRule="auto"/>
        <w:contextualSpacing/>
        <w:jc w:val="both"/>
        <w:rPr>
          <w:rStyle w:val="Heading3Char"/>
          <w:rFonts w:ascii="Times New Roman" w:eastAsia="Calibri" w:hAnsi="Times New Roman"/>
          <w:color w:val="000000"/>
        </w:rPr>
      </w:pPr>
      <w:bookmarkStart w:id="42" w:name="_Toc528427680"/>
      <w:r w:rsidRPr="003C5C57">
        <w:rPr>
          <w:rStyle w:val="Heading3Char"/>
          <w:rFonts w:ascii="Times New Roman" w:eastAsia="Calibri" w:hAnsi="Times New Roman"/>
          <w:color w:val="000000"/>
        </w:rPr>
        <w:t>The formulae; PP= Cash outlay (investment)/ annual cash inflow</w:t>
      </w:r>
      <w:bookmarkEnd w:id="42"/>
    </w:p>
    <w:p w:rsidR="00767743" w:rsidRPr="003C5C57" w:rsidRDefault="008558E1" w:rsidP="00BA6DE8">
      <w:pPr>
        <w:spacing w:line="480" w:lineRule="auto"/>
        <w:contextualSpacing/>
        <w:jc w:val="both"/>
        <w:rPr>
          <w:rStyle w:val="Heading3Char"/>
          <w:rFonts w:ascii="Times New Roman" w:eastAsia="Calibri" w:hAnsi="Times New Roman"/>
          <w:color w:val="000000"/>
        </w:rPr>
      </w:pPr>
      <w:r w:rsidRPr="003C5C57">
        <w:rPr>
          <w:rFonts w:ascii="Times New Roman" w:hAnsi="Times New Roman"/>
          <w:noProof/>
          <w:sz w:val="24"/>
          <w:szCs w:val="24"/>
        </w:rPr>
        <w:drawing>
          <wp:inline distT="0" distB="0" distL="0" distR="0">
            <wp:extent cx="1828800" cy="2179955"/>
            <wp:effectExtent l="0" t="0" r="0" b="0"/>
            <wp:docPr id="1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8800" cy="2179955"/>
                    </a:xfrm>
                    <a:prstGeom prst="rect">
                      <a:avLst/>
                    </a:prstGeom>
                    <a:noFill/>
                    <a:ln>
                      <a:noFill/>
                    </a:ln>
                  </pic:spPr>
                </pic:pic>
              </a:graphicData>
            </a:graphic>
          </wp:inline>
        </w:drawing>
      </w:r>
    </w:p>
    <w:p w:rsidR="00BA2703" w:rsidRPr="003C5C57" w:rsidRDefault="000A613D" w:rsidP="00BA6DE8">
      <w:pPr>
        <w:spacing w:line="480" w:lineRule="auto"/>
        <w:ind w:firstLine="720"/>
        <w:contextualSpacing/>
        <w:jc w:val="both"/>
        <w:rPr>
          <w:rStyle w:val="Heading3Char"/>
          <w:rFonts w:ascii="Times New Roman" w:eastAsia="Calibri" w:hAnsi="Times New Roman"/>
          <w:color w:val="000000"/>
        </w:rPr>
      </w:pPr>
      <w:bookmarkStart w:id="43" w:name="_Toc528427681"/>
      <w:r w:rsidRPr="003C5C57">
        <w:rPr>
          <w:rStyle w:val="Heading3Char"/>
          <w:rFonts w:ascii="Times New Roman" w:eastAsia="Calibri" w:hAnsi="Times New Roman"/>
          <w:color w:val="000000"/>
        </w:rPr>
        <w:t>Based on the above project A and B examples, PP for project is shorter than that of project A, however, project A gives higher returns. Therefore, A is superior than B, (business is confident)</w:t>
      </w:r>
      <w:bookmarkEnd w:id="43"/>
      <w:r w:rsidRPr="003C5C57">
        <w:rPr>
          <w:rStyle w:val="Heading3Char"/>
          <w:rFonts w:ascii="Times New Roman" w:eastAsia="Calibri" w:hAnsi="Times New Roman"/>
          <w:color w:val="000000"/>
        </w:rPr>
        <w:t xml:space="preserve"> </w:t>
      </w:r>
    </w:p>
    <w:p w:rsidR="00BA2703" w:rsidRPr="003C5C57" w:rsidRDefault="00BA2703" w:rsidP="00BA6DE8">
      <w:pPr>
        <w:pStyle w:val="Heading3"/>
        <w:spacing w:line="480" w:lineRule="auto"/>
        <w:contextualSpacing/>
        <w:rPr>
          <w:rFonts w:ascii="Times New Roman" w:hAnsi="Times New Roman"/>
        </w:rPr>
      </w:pPr>
      <w:bookmarkStart w:id="44" w:name="_Toc528427682"/>
      <w:r w:rsidRPr="003C5C57">
        <w:rPr>
          <w:rStyle w:val="Heading3Char"/>
          <w:rFonts w:ascii="Times New Roman" w:eastAsia="Calibri" w:hAnsi="Times New Roman"/>
        </w:rPr>
        <w:t>Beyond budgeting (BB)</w:t>
      </w:r>
      <w:bookmarkEnd w:id="44"/>
      <w:r w:rsidRPr="003C5C57">
        <w:rPr>
          <w:rFonts w:ascii="Times New Roman" w:hAnsi="Times New Roman"/>
        </w:rPr>
        <w:t xml:space="preserve"> </w:t>
      </w:r>
    </w:p>
    <w:p w:rsidR="00BA2703" w:rsidRPr="003C5C57" w:rsidRDefault="000A613D" w:rsidP="00BA6DE8">
      <w:pPr>
        <w:spacing w:line="480" w:lineRule="auto"/>
        <w:contextualSpacing/>
        <w:jc w:val="both"/>
        <w:rPr>
          <w:rFonts w:ascii="Times New Roman" w:hAnsi="Times New Roman"/>
          <w:sz w:val="24"/>
          <w:szCs w:val="24"/>
        </w:rPr>
      </w:pPr>
      <w:r w:rsidRPr="003C5C57">
        <w:rPr>
          <w:rFonts w:ascii="Times New Roman" w:hAnsi="Times New Roman"/>
          <w:sz w:val="24"/>
          <w:szCs w:val="24"/>
        </w:rPr>
        <w:tab/>
        <w:t>BB implies above control-and-command toward a management</w:t>
      </w:r>
      <w:r w:rsidR="003C1C7A" w:rsidRPr="003C5C57">
        <w:rPr>
          <w:rFonts w:ascii="Times New Roman" w:hAnsi="Times New Roman"/>
          <w:sz w:val="24"/>
          <w:szCs w:val="24"/>
        </w:rPr>
        <w:t xml:space="preserve"> model which is adaptive and empowered</w:t>
      </w:r>
      <w:r w:rsidR="00E43065" w:rsidRPr="003C5C57">
        <w:rPr>
          <w:rFonts w:ascii="Times New Roman" w:hAnsi="Times New Roman"/>
          <w:sz w:val="24"/>
          <w:szCs w:val="24"/>
        </w:rPr>
        <w:t xml:space="preserve"> (</w:t>
      </w:r>
      <w:r w:rsidR="00E43065" w:rsidRPr="003C5C57">
        <w:rPr>
          <w:rFonts w:ascii="Times New Roman" w:hAnsi="Times New Roman"/>
          <w:color w:val="222222"/>
          <w:sz w:val="24"/>
          <w:szCs w:val="24"/>
          <w:shd w:val="clear" w:color="auto" w:fill="FFFFFF"/>
        </w:rPr>
        <w:t>Schmitz, 2018</w:t>
      </w:r>
      <w:r w:rsidR="00E43065" w:rsidRPr="003C5C57">
        <w:rPr>
          <w:rFonts w:ascii="Times New Roman" w:hAnsi="Times New Roman"/>
          <w:sz w:val="24"/>
          <w:szCs w:val="24"/>
        </w:rPr>
        <w:t>)</w:t>
      </w:r>
      <w:r w:rsidR="003C1C7A" w:rsidRPr="003C5C57">
        <w:rPr>
          <w:rFonts w:ascii="Times New Roman" w:hAnsi="Times New Roman"/>
          <w:sz w:val="24"/>
          <w:szCs w:val="24"/>
        </w:rPr>
        <w:t xml:space="preserve">. It is all about thinking how organization is managed in the post-industrial globe with innovative models of management denoting the solely sustainable competitive edge. The benefits attributable to BB include faster response, innovative strategies, lower costs, and more loyal clients and customers.  </w:t>
      </w:r>
    </w:p>
    <w:p w:rsidR="00BA2703" w:rsidRPr="003C5C57" w:rsidRDefault="00BA2703" w:rsidP="00BA6DE8">
      <w:pPr>
        <w:pStyle w:val="Heading2"/>
        <w:spacing w:line="480" w:lineRule="auto"/>
        <w:contextualSpacing/>
        <w:rPr>
          <w:rFonts w:ascii="Times New Roman" w:hAnsi="Times New Roman"/>
          <w:sz w:val="24"/>
          <w:szCs w:val="24"/>
        </w:rPr>
      </w:pPr>
      <w:bookmarkStart w:id="45" w:name="_Toc528427683"/>
      <w:r w:rsidRPr="003C5C57">
        <w:rPr>
          <w:rFonts w:ascii="Times New Roman" w:hAnsi="Times New Roman"/>
          <w:sz w:val="24"/>
          <w:szCs w:val="24"/>
        </w:rPr>
        <w:lastRenderedPageBreak/>
        <w:t>Role of Technology in Budgeting, Planning and Forecasting</w:t>
      </w:r>
      <w:bookmarkEnd w:id="45"/>
    </w:p>
    <w:p w:rsidR="00BA2703" w:rsidRPr="003C5C57" w:rsidRDefault="003C1C7A" w:rsidP="00BA6DE8">
      <w:pPr>
        <w:spacing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Technology avails real-time insights in increased direct communication forms for decision-makers to eliminate guesswork and highlight essential information. Use of technological tools alongside process help automate great deal of mundane, low-value tasks alongside freeing up FP and A teams to give foresights and insights to allow organization and stakeholders grow</w:t>
      </w:r>
      <w:r w:rsidR="00E43065" w:rsidRPr="003C5C57">
        <w:rPr>
          <w:rFonts w:ascii="Times New Roman" w:hAnsi="Times New Roman"/>
          <w:sz w:val="24"/>
          <w:szCs w:val="24"/>
        </w:rPr>
        <w:t xml:space="preserve"> (</w:t>
      </w:r>
      <w:r w:rsidR="00E43065" w:rsidRPr="003C5C57">
        <w:rPr>
          <w:rFonts w:ascii="Times New Roman" w:hAnsi="Times New Roman"/>
          <w:color w:val="222222"/>
          <w:sz w:val="24"/>
          <w:szCs w:val="24"/>
          <w:shd w:val="clear" w:color="auto" w:fill="FFFFFF"/>
        </w:rPr>
        <w:t>Suomalainen, Kuusela &amp; Tihinen, 2015</w:t>
      </w:r>
      <w:r w:rsidR="00E43065" w:rsidRPr="003C5C57">
        <w:rPr>
          <w:rFonts w:ascii="Times New Roman" w:hAnsi="Times New Roman"/>
          <w:sz w:val="24"/>
          <w:szCs w:val="24"/>
        </w:rPr>
        <w:t>)</w:t>
      </w:r>
      <w:r w:rsidRPr="003C5C57">
        <w:rPr>
          <w:rFonts w:ascii="Times New Roman" w:hAnsi="Times New Roman"/>
          <w:sz w:val="24"/>
          <w:szCs w:val="24"/>
        </w:rPr>
        <w:t xml:space="preserve">. Technology </w:t>
      </w:r>
      <w:r w:rsidR="00425113" w:rsidRPr="003C5C57">
        <w:rPr>
          <w:rFonts w:ascii="Times New Roman" w:hAnsi="Times New Roman"/>
          <w:sz w:val="24"/>
          <w:szCs w:val="24"/>
        </w:rPr>
        <w:t xml:space="preserve">help CFOs and managers to build in systems which sync automatically with general ledger which assist in keeping accurate data to the minute to eliminate potential errors. CFOs use technology to effectively monitor and report budget and real time forecast thus creating reports capable of comparing historical information, enhance dashboard and produce scenarios of “what-if”. BP&amp;F software helps in consolidation and centralization of financial information hence easier for more accurate budget generation and analysis of “what-if” scenarios. </w:t>
      </w:r>
    </w:p>
    <w:p w:rsidR="00BA2703" w:rsidRPr="003C5C57" w:rsidRDefault="00BA2703" w:rsidP="00BA6DE8">
      <w:pPr>
        <w:pStyle w:val="Heading2"/>
        <w:spacing w:line="480" w:lineRule="auto"/>
        <w:contextualSpacing/>
        <w:rPr>
          <w:rFonts w:ascii="Times New Roman" w:hAnsi="Times New Roman"/>
          <w:sz w:val="24"/>
          <w:szCs w:val="24"/>
        </w:rPr>
      </w:pPr>
      <w:bookmarkStart w:id="46" w:name="_Toc513903685"/>
      <w:bookmarkStart w:id="47" w:name="_Toc513908456"/>
      <w:bookmarkStart w:id="48" w:name="_Toc528427684"/>
      <w:r w:rsidRPr="003C5C57">
        <w:rPr>
          <w:rFonts w:ascii="Times New Roman" w:hAnsi="Times New Roman"/>
          <w:sz w:val="24"/>
          <w:szCs w:val="24"/>
        </w:rPr>
        <w:t>Conclusion</w:t>
      </w:r>
      <w:bookmarkEnd w:id="46"/>
      <w:bookmarkEnd w:id="47"/>
      <w:bookmarkEnd w:id="48"/>
      <w:r w:rsidRPr="003C5C57">
        <w:rPr>
          <w:rFonts w:ascii="Times New Roman" w:hAnsi="Times New Roman"/>
          <w:sz w:val="24"/>
          <w:szCs w:val="24"/>
        </w:rPr>
        <w:t xml:space="preserve"> </w:t>
      </w:r>
    </w:p>
    <w:p w:rsidR="00BA2703" w:rsidRPr="003C5C57" w:rsidRDefault="00425113" w:rsidP="00BA6DE8">
      <w:pPr>
        <w:spacing w:line="480" w:lineRule="auto"/>
        <w:ind w:firstLine="720"/>
        <w:contextualSpacing/>
        <w:jc w:val="both"/>
        <w:rPr>
          <w:rFonts w:ascii="Times New Roman" w:hAnsi="Times New Roman"/>
          <w:sz w:val="24"/>
          <w:szCs w:val="24"/>
        </w:rPr>
      </w:pPr>
      <w:r w:rsidRPr="003C5C57">
        <w:rPr>
          <w:rFonts w:ascii="Times New Roman" w:hAnsi="Times New Roman"/>
          <w:sz w:val="24"/>
          <w:szCs w:val="24"/>
        </w:rPr>
        <w:t>In my view, b</w:t>
      </w:r>
      <w:r w:rsidR="00BA2703" w:rsidRPr="003C5C57">
        <w:rPr>
          <w:rFonts w:ascii="Times New Roman" w:hAnsi="Times New Roman"/>
          <w:sz w:val="24"/>
          <w:szCs w:val="24"/>
        </w:rPr>
        <w:t>udgeting as an activity</w:t>
      </w:r>
      <w:r w:rsidRPr="003C5C57">
        <w:rPr>
          <w:rFonts w:ascii="Times New Roman" w:hAnsi="Times New Roman"/>
          <w:sz w:val="24"/>
          <w:szCs w:val="24"/>
        </w:rPr>
        <w:t xml:space="preserve"> is never going away. However, flexible budgeting should be preferred over traditional fixed budgeting. </w:t>
      </w:r>
      <w:r w:rsidR="00BA2703" w:rsidRPr="003C5C57">
        <w:rPr>
          <w:rFonts w:ascii="Times New Roman" w:hAnsi="Times New Roman"/>
          <w:sz w:val="24"/>
          <w:szCs w:val="24"/>
        </w:rPr>
        <w:t xml:space="preserve"> </w:t>
      </w:r>
      <w:r w:rsidRPr="003C5C57">
        <w:rPr>
          <w:rFonts w:ascii="Times New Roman" w:hAnsi="Times New Roman"/>
          <w:sz w:val="24"/>
          <w:szCs w:val="24"/>
        </w:rPr>
        <w:t xml:space="preserve">Technology should be used in budgeting instead of outdated excel spreadsheets. Technology will help automate a great deal of mundane, low-value tasks and free up FP&amp;A teams to give required insights and foresight </w:t>
      </w:r>
      <w:r w:rsidR="00A96EA6" w:rsidRPr="003C5C57">
        <w:rPr>
          <w:rFonts w:ascii="Times New Roman" w:hAnsi="Times New Roman"/>
          <w:sz w:val="24"/>
          <w:szCs w:val="24"/>
        </w:rPr>
        <w:t xml:space="preserve">to correctly permit the organization partners and organization itself to expand. </w:t>
      </w:r>
    </w:p>
    <w:p w:rsidR="00E43065" w:rsidRPr="003C5C57" w:rsidRDefault="00E43065" w:rsidP="00BA6DE8">
      <w:pPr>
        <w:spacing w:line="480" w:lineRule="auto"/>
        <w:ind w:firstLine="720"/>
        <w:contextualSpacing/>
        <w:jc w:val="both"/>
        <w:rPr>
          <w:rFonts w:ascii="Times New Roman" w:hAnsi="Times New Roman"/>
          <w:sz w:val="24"/>
          <w:szCs w:val="24"/>
        </w:rPr>
      </w:pPr>
    </w:p>
    <w:p w:rsidR="00E43065" w:rsidRPr="003C5C57" w:rsidRDefault="00E43065" w:rsidP="00BA6DE8">
      <w:pPr>
        <w:spacing w:line="480" w:lineRule="auto"/>
        <w:ind w:firstLine="720"/>
        <w:contextualSpacing/>
        <w:jc w:val="both"/>
        <w:rPr>
          <w:rFonts w:ascii="Times New Roman" w:hAnsi="Times New Roman"/>
          <w:sz w:val="24"/>
          <w:szCs w:val="24"/>
        </w:rPr>
      </w:pPr>
    </w:p>
    <w:p w:rsidR="00E43065" w:rsidRPr="003C5C57" w:rsidRDefault="00E43065" w:rsidP="00BA6DE8">
      <w:pPr>
        <w:spacing w:line="480" w:lineRule="auto"/>
        <w:ind w:firstLine="720"/>
        <w:contextualSpacing/>
        <w:jc w:val="both"/>
        <w:rPr>
          <w:rFonts w:ascii="Times New Roman" w:hAnsi="Times New Roman"/>
          <w:sz w:val="24"/>
          <w:szCs w:val="24"/>
        </w:rPr>
      </w:pPr>
    </w:p>
    <w:p w:rsidR="00E43065" w:rsidRPr="003C5C57" w:rsidRDefault="00E43065" w:rsidP="00BA6DE8">
      <w:pPr>
        <w:spacing w:line="480" w:lineRule="auto"/>
        <w:ind w:firstLine="720"/>
        <w:contextualSpacing/>
        <w:jc w:val="both"/>
        <w:rPr>
          <w:rFonts w:ascii="Times New Roman" w:hAnsi="Times New Roman"/>
          <w:sz w:val="24"/>
          <w:szCs w:val="24"/>
        </w:rPr>
      </w:pPr>
    </w:p>
    <w:p w:rsidR="00E43065" w:rsidRPr="003C5C57" w:rsidRDefault="00E43065" w:rsidP="00BA6DE8">
      <w:pPr>
        <w:spacing w:line="480" w:lineRule="auto"/>
        <w:ind w:firstLine="720"/>
        <w:contextualSpacing/>
        <w:jc w:val="both"/>
        <w:rPr>
          <w:rFonts w:ascii="Times New Roman" w:hAnsi="Times New Roman"/>
          <w:sz w:val="24"/>
          <w:szCs w:val="24"/>
        </w:rPr>
      </w:pPr>
    </w:p>
    <w:p w:rsidR="00E43065" w:rsidRPr="003C5C57" w:rsidRDefault="00E43065" w:rsidP="00BA6DE8">
      <w:pPr>
        <w:spacing w:line="480" w:lineRule="auto"/>
        <w:ind w:firstLine="720"/>
        <w:contextualSpacing/>
        <w:jc w:val="both"/>
        <w:rPr>
          <w:rFonts w:ascii="Times New Roman" w:hAnsi="Times New Roman"/>
          <w:sz w:val="24"/>
          <w:szCs w:val="24"/>
        </w:rPr>
      </w:pPr>
    </w:p>
    <w:p w:rsidR="00E43065" w:rsidRPr="003C5C57" w:rsidRDefault="00E43065" w:rsidP="00BA6DE8">
      <w:pPr>
        <w:spacing w:line="480" w:lineRule="auto"/>
        <w:ind w:firstLine="720"/>
        <w:contextualSpacing/>
        <w:jc w:val="both"/>
        <w:rPr>
          <w:rFonts w:ascii="Times New Roman" w:hAnsi="Times New Roman"/>
          <w:sz w:val="24"/>
          <w:szCs w:val="24"/>
        </w:rPr>
      </w:pPr>
    </w:p>
    <w:p w:rsidR="00E43065" w:rsidRPr="003C5C57" w:rsidRDefault="00E43065" w:rsidP="00BA6DE8">
      <w:pPr>
        <w:spacing w:line="480" w:lineRule="auto"/>
        <w:ind w:firstLine="720"/>
        <w:contextualSpacing/>
        <w:jc w:val="both"/>
        <w:rPr>
          <w:rFonts w:ascii="Times New Roman" w:hAnsi="Times New Roman"/>
          <w:sz w:val="24"/>
          <w:szCs w:val="24"/>
        </w:rPr>
      </w:pPr>
    </w:p>
    <w:p w:rsidR="00E43065" w:rsidRPr="003C5C57" w:rsidRDefault="00E43065" w:rsidP="00BA6DE8">
      <w:pPr>
        <w:spacing w:line="480" w:lineRule="auto"/>
        <w:ind w:firstLine="720"/>
        <w:contextualSpacing/>
        <w:jc w:val="both"/>
        <w:rPr>
          <w:rFonts w:ascii="Times New Roman" w:hAnsi="Times New Roman"/>
          <w:sz w:val="24"/>
          <w:szCs w:val="24"/>
        </w:rPr>
      </w:pPr>
    </w:p>
    <w:p w:rsidR="00E43065" w:rsidRPr="003C5C57" w:rsidRDefault="00E43065" w:rsidP="003C5C57">
      <w:pPr>
        <w:spacing w:line="480" w:lineRule="auto"/>
        <w:contextualSpacing/>
        <w:jc w:val="both"/>
        <w:rPr>
          <w:rFonts w:ascii="Times New Roman" w:hAnsi="Times New Roman"/>
          <w:sz w:val="24"/>
          <w:szCs w:val="24"/>
        </w:rPr>
      </w:pPr>
    </w:p>
    <w:p w:rsidR="00E43065" w:rsidRPr="003C5C57" w:rsidRDefault="00E43065" w:rsidP="00BA6DE8">
      <w:pPr>
        <w:pStyle w:val="Heading2"/>
        <w:spacing w:line="480" w:lineRule="auto"/>
        <w:contextualSpacing/>
        <w:rPr>
          <w:rFonts w:ascii="Times New Roman" w:hAnsi="Times New Roman"/>
          <w:sz w:val="24"/>
          <w:szCs w:val="24"/>
        </w:rPr>
      </w:pPr>
      <w:bookmarkStart w:id="49" w:name="_Toc528427685"/>
      <w:r w:rsidRPr="003C5C57">
        <w:rPr>
          <w:rFonts w:ascii="Times New Roman" w:hAnsi="Times New Roman"/>
          <w:sz w:val="24"/>
          <w:szCs w:val="24"/>
        </w:rPr>
        <w:t>References</w:t>
      </w:r>
      <w:bookmarkEnd w:id="49"/>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Almazan, A., Chen, Z., &amp; Titman, S. (2017). Firm Investment and Stakeholder Choices: A Top</w:t>
      </w:r>
      <w:r w:rsidRPr="003C5C57">
        <w:rPr>
          <w:rFonts w:ascii="Cambria Math" w:hAnsi="Cambria Math" w:cs="Cambria Math"/>
          <w:color w:val="222222"/>
          <w:sz w:val="24"/>
          <w:szCs w:val="24"/>
          <w:shd w:val="clear" w:color="auto" w:fill="FFFFFF"/>
        </w:rPr>
        <w:t>‐</w:t>
      </w:r>
      <w:r w:rsidRPr="003C5C57">
        <w:rPr>
          <w:rFonts w:ascii="Times New Roman" w:hAnsi="Times New Roman"/>
          <w:color w:val="222222"/>
          <w:sz w:val="24"/>
          <w:szCs w:val="24"/>
          <w:shd w:val="clear" w:color="auto" w:fill="FFFFFF"/>
        </w:rPr>
        <w:t>Down Theory of Capital Budgeting. </w:t>
      </w:r>
      <w:r w:rsidRPr="003C5C57">
        <w:rPr>
          <w:rFonts w:ascii="Times New Roman" w:hAnsi="Times New Roman"/>
          <w:i/>
          <w:iCs/>
          <w:color w:val="222222"/>
          <w:sz w:val="24"/>
          <w:szCs w:val="24"/>
          <w:shd w:val="clear" w:color="auto" w:fill="FFFFFF"/>
        </w:rPr>
        <w:t>The Journal of Finance</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72</w:t>
      </w:r>
      <w:r w:rsidRPr="003C5C57">
        <w:rPr>
          <w:rFonts w:ascii="Times New Roman" w:hAnsi="Times New Roman"/>
          <w:color w:val="222222"/>
          <w:sz w:val="24"/>
          <w:szCs w:val="24"/>
          <w:shd w:val="clear" w:color="auto" w:fill="FFFFFF"/>
        </w:rPr>
        <w:t>(5), 2179-2228.</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Cole, S. A. (2019). Managing Activity-Based Funding Using Costing Data and Activity-Based Budgets. In </w:t>
      </w:r>
      <w:r w:rsidRPr="003C5C57">
        <w:rPr>
          <w:rFonts w:ascii="Times New Roman" w:hAnsi="Times New Roman"/>
          <w:i/>
          <w:iCs/>
          <w:color w:val="222222"/>
          <w:sz w:val="24"/>
          <w:szCs w:val="24"/>
          <w:shd w:val="clear" w:color="auto" w:fill="FFFFFF"/>
        </w:rPr>
        <w:t>Clinical Costing Techniques and Analysis in Modern Healthcare Systems</w:t>
      </w:r>
      <w:r w:rsidRPr="003C5C57">
        <w:rPr>
          <w:rFonts w:ascii="Times New Roman" w:hAnsi="Times New Roman"/>
          <w:color w:val="222222"/>
          <w:sz w:val="24"/>
          <w:szCs w:val="24"/>
          <w:shd w:val="clear" w:color="auto" w:fill="FFFFFF"/>
        </w:rPr>
        <w:t> (pp. 128-143). IGI Global.</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de Campos, C. M. P., &amp; Rodrigues, L. L. (2016). Budgeting Techniques: Incremental Based, Performance Based, Activity Based, Zero Based, and Priority Based. In </w:t>
      </w:r>
      <w:r w:rsidRPr="003C5C57">
        <w:rPr>
          <w:rFonts w:ascii="Times New Roman" w:hAnsi="Times New Roman"/>
          <w:i/>
          <w:iCs/>
          <w:color w:val="222222"/>
          <w:sz w:val="24"/>
          <w:szCs w:val="24"/>
          <w:shd w:val="clear" w:color="auto" w:fill="FFFFFF"/>
        </w:rPr>
        <w:t>Global Encyclopedia of Public Administration, Public Policy, and Governance</w:t>
      </w:r>
      <w:r w:rsidRPr="003C5C57">
        <w:rPr>
          <w:rFonts w:ascii="Times New Roman" w:hAnsi="Times New Roman"/>
          <w:color w:val="222222"/>
          <w:sz w:val="24"/>
          <w:szCs w:val="24"/>
          <w:shd w:val="clear" w:color="auto" w:fill="FFFFFF"/>
        </w:rPr>
        <w:t> (pp. 1-10). Springer International Publishing.</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El Haddad, R. (2015). Exploration of revenue management practices–case of an upscale budget hotel chain. </w:t>
      </w:r>
      <w:r w:rsidRPr="003C5C57">
        <w:rPr>
          <w:rFonts w:ascii="Times New Roman" w:hAnsi="Times New Roman"/>
          <w:i/>
          <w:iCs/>
          <w:color w:val="222222"/>
          <w:sz w:val="24"/>
          <w:szCs w:val="24"/>
          <w:shd w:val="clear" w:color="auto" w:fill="FFFFFF"/>
        </w:rPr>
        <w:t>International Journal of Contemporary Hospitality Management</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27</w:t>
      </w:r>
      <w:r w:rsidRPr="003C5C57">
        <w:rPr>
          <w:rFonts w:ascii="Times New Roman" w:hAnsi="Times New Roman"/>
          <w:color w:val="222222"/>
          <w:sz w:val="24"/>
          <w:szCs w:val="24"/>
          <w:shd w:val="clear" w:color="auto" w:fill="FFFFFF"/>
        </w:rPr>
        <w:t>(8), 1791-1813.</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Hayat, M., Shahnia, F., Arefi, A., Iu, H., &amp; Fernando, T. (2017, April). Comparison of the economic benefits and the payback periods of rooftop solar panels in Australia. In </w:t>
      </w:r>
      <w:r w:rsidRPr="003C5C57">
        <w:rPr>
          <w:rFonts w:ascii="Times New Roman" w:hAnsi="Times New Roman"/>
          <w:i/>
          <w:iCs/>
          <w:color w:val="222222"/>
          <w:sz w:val="24"/>
          <w:szCs w:val="24"/>
          <w:shd w:val="clear" w:color="auto" w:fill="FFFFFF"/>
        </w:rPr>
        <w:t>Power Generation Systems and Renewable Energy Technologies (PGSRET), 2017 3rd International Conference on</w:t>
      </w:r>
      <w:r w:rsidRPr="003C5C57">
        <w:rPr>
          <w:rFonts w:ascii="Times New Roman" w:hAnsi="Times New Roman"/>
          <w:color w:val="222222"/>
          <w:sz w:val="24"/>
          <w:szCs w:val="24"/>
          <w:shd w:val="clear" w:color="auto" w:fill="FFFFFF"/>
        </w:rPr>
        <w:t> (pp. 113-117). IEEE.</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Marshall, D. (2016). </w:t>
      </w:r>
      <w:r w:rsidRPr="003C5C57">
        <w:rPr>
          <w:rFonts w:ascii="Times New Roman" w:hAnsi="Times New Roman"/>
          <w:i/>
          <w:iCs/>
          <w:color w:val="222222"/>
          <w:sz w:val="24"/>
          <w:szCs w:val="24"/>
          <w:shd w:val="clear" w:color="auto" w:fill="FFFFFF"/>
        </w:rPr>
        <w:t>Accounting: what the numbers mean</w:t>
      </w:r>
      <w:r w:rsidRPr="003C5C57">
        <w:rPr>
          <w:rFonts w:ascii="Times New Roman" w:hAnsi="Times New Roman"/>
          <w:color w:val="222222"/>
          <w:sz w:val="24"/>
          <w:szCs w:val="24"/>
          <w:shd w:val="clear" w:color="auto" w:fill="FFFFFF"/>
        </w:rPr>
        <w:t>. McGraw-Hill Higher Education.</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Nnoli, U. F., Adeyemi, S. S., &amp; Onuora, O. A. (2016). Zero-Based Budgeting: Pathway to Sustainable Budget Implementation in Nigeria. </w:t>
      </w:r>
      <w:r w:rsidRPr="003C5C57">
        <w:rPr>
          <w:rFonts w:ascii="Times New Roman" w:hAnsi="Times New Roman"/>
          <w:i/>
          <w:iCs/>
          <w:color w:val="222222"/>
          <w:sz w:val="24"/>
          <w:szCs w:val="24"/>
          <w:shd w:val="clear" w:color="auto" w:fill="FFFFFF"/>
        </w:rPr>
        <w:t>Business Trends</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6</w:t>
      </w:r>
      <w:r w:rsidRPr="003C5C57">
        <w:rPr>
          <w:rFonts w:ascii="Times New Roman" w:hAnsi="Times New Roman"/>
          <w:color w:val="222222"/>
          <w:sz w:val="24"/>
          <w:szCs w:val="24"/>
          <w:shd w:val="clear" w:color="auto" w:fill="FFFFFF"/>
        </w:rPr>
        <w:t>(3), 28-35.</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lastRenderedPageBreak/>
        <w:t>Schick, A. (2015). The road to PPB: The stages of budget reform. In </w:t>
      </w:r>
      <w:r w:rsidRPr="003C5C57">
        <w:rPr>
          <w:rFonts w:ascii="Times New Roman" w:hAnsi="Times New Roman"/>
          <w:i/>
          <w:iCs/>
          <w:color w:val="222222"/>
          <w:sz w:val="24"/>
          <w:szCs w:val="24"/>
          <w:shd w:val="clear" w:color="auto" w:fill="FFFFFF"/>
        </w:rPr>
        <w:t>Public Budgeting</w:t>
      </w:r>
      <w:r w:rsidRPr="003C5C57">
        <w:rPr>
          <w:rFonts w:ascii="Times New Roman" w:hAnsi="Times New Roman"/>
          <w:color w:val="222222"/>
          <w:sz w:val="24"/>
          <w:szCs w:val="24"/>
          <w:shd w:val="clear" w:color="auto" w:fill="FFFFFF"/>
        </w:rPr>
        <w:t> (pp. 39-56). Routledge.</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Schmitz, S. O. (2018, July). Beyond Budgeting-a fair alternative for management control? Examining the relationships between Beyond Budgeting, organizational justice and unethical behaviors. In </w:t>
      </w:r>
      <w:r w:rsidRPr="003C5C57">
        <w:rPr>
          <w:rFonts w:ascii="Times New Roman" w:hAnsi="Times New Roman"/>
          <w:i/>
          <w:iCs/>
          <w:color w:val="222222"/>
          <w:sz w:val="24"/>
          <w:szCs w:val="24"/>
          <w:shd w:val="clear" w:color="auto" w:fill="FFFFFF"/>
        </w:rPr>
        <w:t>Proceedings of International Academic Conferences</w:t>
      </w:r>
      <w:r w:rsidRPr="003C5C57">
        <w:rPr>
          <w:rFonts w:ascii="Times New Roman" w:hAnsi="Times New Roman"/>
          <w:color w:val="222222"/>
          <w:sz w:val="24"/>
          <w:szCs w:val="24"/>
          <w:shd w:val="clear" w:color="auto" w:fill="FFFFFF"/>
        </w:rPr>
        <w:t> (No. 8209683). International Institute of Social and Economic Sciences.</w:t>
      </w:r>
    </w:p>
    <w:p w:rsidR="00ED4877" w:rsidRPr="003C5C57" w:rsidRDefault="00ED4877" w:rsidP="00BA6DE8">
      <w:pPr>
        <w:spacing w:after="0" w:line="480" w:lineRule="auto"/>
        <w:ind w:left="720" w:hanging="720"/>
        <w:contextualSpacing/>
        <w:jc w:val="both"/>
        <w:rPr>
          <w:rFonts w:ascii="Times New Roman" w:hAnsi="Times New Roman"/>
          <w:b/>
          <w:sz w:val="24"/>
          <w:szCs w:val="24"/>
        </w:rPr>
      </w:pPr>
      <w:r w:rsidRPr="003C5C57">
        <w:rPr>
          <w:rFonts w:ascii="Times New Roman" w:hAnsi="Times New Roman"/>
          <w:color w:val="222222"/>
          <w:sz w:val="24"/>
          <w:szCs w:val="24"/>
          <w:shd w:val="clear" w:color="auto" w:fill="FFFFFF"/>
        </w:rPr>
        <w:t>Segun, A., &amp; Olamide, F. T. (2015). The global debate on budgeting: Empirical evidence from Nigeria. </w:t>
      </w:r>
      <w:r w:rsidRPr="003C5C57">
        <w:rPr>
          <w:rFonts w:ascii="Times New Roman" w:hAnsi="Times New Roman"/>
          <w:i/>
          <w:iCs/>
          <w:color w:val="222222"/>
          <w:sz w:val="24"/>
          <w:szCs w:val="24"/>
          <w:shd w:val="clear" w:color="auto" w:fill="FFFFFF"/>
        </w:rPr>
        <w:t>Business Management Review</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13</w:t>
      </w:r>
      <w:r w:rsidRPr="003C5C57">
        <w:rPr>
          <w:rFonts w:ascii="Times New Roman" w:hAnsi="Times New Roman"/>
          <w:color w:val="222222"/>
          <w:sz w:val="24"/>
          <w:szCs w:val="24"/>
          <w:shd w:val="clear" w:color="auto" w:fill="FFFFFF"/>
        </w:rPr>
        <w:t>(1).</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Suomalainen, T., Kuusela, R., &amp; Tihinen, M. (2015). Continuous planning: an important aspect of agile and lean development. </w:t>
      </w:r>
      <w:r w:rsidRPr="003C5C57">
        <w:rPr>
          <w:rFonts w:ascii="Times New Roman" w:hAnsi="Times New Roman"/>
          <w:i/>
          <w:iCs/>
          <w:color w:val="222222"/>
          <w:sz w:val="24"/>
          <w:szCs w:val="24"/>
          <w:shd w:val="clear" w:color="auto" w:fill="FFFFFF"/>
        </w:rPr>
        <w:t>International Journal of Agile Systems and Management</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8</w:t>
      </w:r>
      <w:r w:rsidRPr="003C5C57">
        <w:rPr>
          <w:rFonts w:ascii="Times New Roman" w:hAnsi="Times New Roman"/>
          <w:color w:val="222222"/>
          <w:sz w:val="24"/>
          <w:szCs w:val="24"/>
          <w:shd w:val="clear" w:color="auto" w:fill="FFFFFF"/>
        </w:rPr>
        <w:t>(2), 132-162.</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Vesty, G., &amp; Brooks, A. (2017). St George Hospital: Flexible Budgeting, Volume Variance, and Balanced Scorecard Performance Measurement. </w:t>
      </w:r>
      <w:r w:rsidRPr="003C5C57">
        <w:rPr>
          <w:rFonts w:ascii="Times New Roman" w:hAnsi="Times New Roman"/>
          <w:i/>
          <w:iCs/>
          <w:color w:val="222222"/>
          <w:sz w:val="24"/>
          <w:szCs w:val="24"/>
          <w:shd w:val="clear" w:color="auto" w:fill="FFFFFF"/>
        </w:rPr>
        <w:t>Issues in Accounting Education Teaching Notes</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32</w:t>
      </w:r>
      <w:r w:rsidRPr="003C5C57">
        <w:rPr>
          <w:rFonts w:ascii="Times New Roman" w:hAnsi="Times New Roman"/>
          <w:color w:val="222222"/>
          <w:sz w:val="24"/>
          <w:szCs w:val="24"/>
          <w:shd w:val="clear" w:color="auto" w:fill="FFFFFF"/>
        </w:rPr>
        <w:t>(3), 11-24.</w:t>
      </w: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0205CC" w:rsidRPr="003C5C57" w:rsidRDefault="000205CC" w:rsidP="00BA6DE8">
      <w:pPr>
        <w:spacing w:line="480" w:lineRule="auto"/>
        <w:contextualSpacing/>
        <w:jc w:val="both"/>
        <w:rPr>
          <w:rFonts w:ascii="Times New Roman" w:hAnsi="Times New Roman"/>
          <w:sz w:val="24"/>
          <w:szCs w:val="24"/>
        </w:rPr>
      </w:pPr>
    </w:p>
    <w:p w:rsidR="000205CC" w:rsidRPr="003C5C57" w:rsidRDefault="000205CC" w:rsidP="00BA6DE8">
      <w:pPr>
        <w:pStyle w:val="Heading1"/>
        <w:spacing w:line="480" w:lineRule="auto"/>
        <w:contextualSpacing/>
        <w:rPr>
          <w:rFonts w:ascii="Times New Roman" w:hAnsi="Times New Roman"/>
          <w:sz w:val="24"/>
          <w:szCs w:val="24"/>
        </w:rPr>
      </w:pPr>
      <w:bookmarkStart w:id="50" w:name="_Toc528427686"/>
      <w:r w:rsidRPr="003C5C57">
        <w:rPr>
          <w:rFonts w:ascii="Times New Roman" w:hAnsi="Times New Roman"/>
          <w:sz w:val="24"/>
          <w:szCs w:val="24"/>
        </w:rPr>
        <w:t>Task 3: Performance Measurement Techniques</w:t>
      </w:r>
      <w:bookmarkEnd w:id="50"/>
    </w:p>
    <w:p w:rsidR="00BA2703" w:rsidRPr="003C5C57" w:rsidRDefault="00BA2703" w:rsidP="00BA6DE8">
      <w:pPr>
        <w:spacing w:after="0" w:line="480" w:lineRule="auto"/>
        <w:contextualSpacing/>
        <w:rPr>
          <w:rFonts w:ascii="Times New Roman" w:hAnsi="Times New Roman"/>
          <w:b/>
          <w:sz w:val="24"/>
          <w:szCs w:val="24"/>
        </w:rPr>
      </w:pPr>
    </w:p>
    <w:p w:rsidR="003C5C57" w:rsidRPr="003C5C57" w:rsidRDefault="003C5C57" w:rsidP="003C5C57">
      <w:pPr>
        <w:pStyle w:val="Heading2"/>
        <w:rPr>
          <w:rFonts w:ascii="Times New Roman" w:hAnsi="Times New Roman"/>
          <w:sz w:val="24"/>
          <w:szCs w:val="24"/>
        </w:rPr>
      </w:pPr>
      <w:bookmarkStart w:id="51" w:name="_Toc513903688"/>
      <w:bookmarkStart w:id="52" w:name="_Toc513908460"/>
      <w:bookmarkStart w:id="53" w:name="_Toc528427687"/>
      <w:r w:rsidRPr="003C5C57">
        <w:rPr>
          <w:rFonts w:ascii="Times New Roman" w:hAnsi="Times New Roman"/>
          <w:sz w:val="24"/>
          <w:szCs w:val="24"/>
        </w:rPr>
        <w:t>Introduction</w:t>
      </w:r>
      <w:bookmarkEnd w:id="53"/>
      <w:r w:rsidRPr="003C5C57">
        <w:rPr>
          <w:rFonts w:ascii="Times New Roman" w:hAnsi="Times New Roman"/>
          <w:sz w:val="24"/>
          <w:szCs w:val="24"/>
        </w:rPr>
        <w:t xml:space="preserve"> </w:t>
      </w:r>
    </w:p>
    <w:p w:rsidR="000205CC" w:rsidRPr="003C5C57" w:rsidRDefault="000205CC" w:rsidP="00BA6DE8">
      <w:pPr>
        <w:pStyle w:val="Heading3"/>
        <w:spacing w:before="0" w:afterAutospacing="0" w:line="480" w:lineRule="auto"/>
        <w:ind w:firstLine="720"/>
        <w:contextualSpacing/>
        <w:rPr>
          <w:rFonts w:ascii="Times New Roman" w:hAnsi="Times New Roman"/>
          <w:color w:val="000000"/>
        </w:rPr>
      </w:pPr>
      <w:bookmarkStart w:id="54" w:name="_Toc528427688"/>
      <w:r w:rsidRPr="003C5C57">
        <w:rPr>
          <w:rFonts w:ascii="Times New Roman" w:hAnsi="Times New Roman"/>
          <w:color w:val="000000"/>
        </w:rPr>
        <w:t xml:space="preserve">Budgeting influence </w:t>
      </w:r>
      <w:r w:rsidR="00DC18EB" w:rsidRPr="003C5C57">
        <w:rPr>
          <w:rFonts w:ascii="Times New Roman" w:hAnsi="Times New Roman"/>
          <w:color w:val="000000"/>
        </w:rPr>
        <w:t>p</w:t>
      </w:r>
      <w:r w:rsidRPr="003C5C57">
        <w:rPr>
          <w:rFonts w:ascii="Times New Roman" w:hAnsi="Times New Roman"/>
          <w:color w:val="000000"/>
        </w:rPr>
        <w:t xml:space="preserve">erformance </w:t>
      </w:r>
      <w:r w:rsidR="00DC18EB" w:rsidRPr="003C5C57">
        <w:rPr>
          <w:rFonts w:ascii="Times New Roman" w:hAnsi="Times New Roman"/>
          <w:color w:val="000000"/>
        </w:rPr>
        <w:t>m</w:t>
      </w:r>
      <w:r w:rsidRPr="003C5C57">
        <w:rPr>
          <w:rFonts w:ascii="Times New Roman" w:hAnsi="Times New Roman"/>
          <w:color w:val="000000"/>
        </w:rPr>
        <w:t xml:space="preserve">anagement aspect. Performance is a must for each economic entity. Budgets has the ability is to assist boost the performance of an organization. Budget is a valuable </w:t>
      </w:r>
      <w:r w:rsidR="004B6AC9" w:rsidRPr="003C5C57">
        <w:rPr>
          <w:rFonts w:ascii="Times New Roman" w:hAnsi="Times New Roman"/>
          <w:color w:val="000000"/>
        </w:rPr>
        <w:t>tool that support the performance improvement through its ability to project activities, to manage business resources, as well as to implemented desired control. Budget assist the business to achieve its objectives and goals and is valuable in managing business and resources, employee and leadership motivation, enhance individual performance and permit effective control implementation. This assist the management take desired decisions and suitable measures to improve activities. Thus, budget is useful tool since it contributes to superior performance management.</w:t>
      </w:r>
      <w:bookmarkEnd w:id="54"/>
      <w:r w:rsidR="004B6AC9" w:rsidRPr="003C5C57">
        <w:rPr>
          <w:rFonts w:ascii="Times New Roman" w:hAnsi="Times New Roman"/>
          <w:color w:val="000000"/>
        </w:rPr>
        <w:t xml:space="preserve">  </w:t>
      </w:r>
    </w:p>
    <w:p w:rsidR="004B6AC9" w:rsidRPr="003C5C57" w:rsidRDefault="000205CC" w:rsidP="00BA6DE8">
      <w:pPr>
        <w:pStyle w:val="Heading2"/>
        <w:spacing w:line="480" w:lineRule="auto"/>
        <w:contextualSpacing/>
        <w:rPr>
          <w:rFonts w:ascii="Times New Roman" w:hAnsi="Times New Roman"/>
          <w:sz w:val="24"/>
          <w:szCs w:val="24"/>
        </w:rPr>
      </w:pPr>
      <w:bookmarkStart w:id="55" w:name="_Toc528427689"/>
      <w:r w:rsidRPr="003C5C57">
        <w:rPr>
          <w:rFonts w:ascii="Times New Roman" w:hAnsi="Times New Roman"/>
          <w:sz w:val="24"/>
          <w:szCs w:val="24"/>
        </w:rPr>
        <w:t>Benchmarking</w:t>
      </w:r>
      <w:bookmarkEnd w:id="51"/>
      <w:bookmarkEnd w:id="52"/>
      <w:r w:rsidRPr="003C5C57">
        <w:rPr>
          <w:rFonts w:ascii="Times New Roman" w:hAnsi="Times New Roman"/>
          <w:sz w:val="24"/>
          <w:szCs w:val="24"/>
        </w:rPr>
        <w:t xml:space="preserve"> –</w:t>
      </w:r>
      <w:bookmarkEnd w:id="55"/>
      <w:r w:rsidRPr="003C5C57">
        <w:rPr>
          <w:rFonts w:ascii="Times New Roman" w:hAnsi="Times New Roman"/>
          <w:sz w:val="24"/>
          <w:szCs w:val="24"/>
        </w:rPr>
        <w:t xml:space="preserve"> </w:t>
      </w:r>
    </w:p>
    <w:p w:rsidR="004B6AC9" w:rsidRPr="003C5C57" w:rsidRDefault="004B6AC9" w:rsidP="00BA6DE8">
      <w:pPr>
        <w:pStyle w:val="Heading3"/>
        <w:spacing w:line="480" w:lineRule="auto"/>
        <w:contextualSpacing/>
        <w:rPr>
          <w:rFonts w:ascii="Times New Roman" w:hAnsi="Times New Roman"/>
        </w:rPr>
      </w:pPr>
      <w:bookmarkStart w:id="56" w:name="_Toc528427690"/>
      <w:r w:rsidRPr="003C5C57">
        <w:rPr>
          <w:rFonts w:ascii="Times New Roman" w:hAnsi="Times New Roman"/>
        </w:rPr>
        <w:t>Academic Definition:</w:t>
      </w:r>
      <w:bookmarkEnd w:id="56"/>
      <w:r w:rsidRPr="003C5C57">
        <w:rPr>
          <w:rFonts w:ascii="Times New Roman" w:hAnsi="Times New Roman"/>
        </w:rPr>
        <w:t xml:space="preserve"> </w:t>
      </w:r>
    </w:p>
    <w:p w:rsidR="004B6AC9" w:rsidRPr="003C5C57" w:rsidRDefault="004B6AC9" w:rsidP="00BA6DE8">
      <w:pPr>
        <w:spacing w:line="480" w:lineRule="auto"/>
        <w:contextualSpacing/>
        <w:jc w:val="both"/>
        <w:rPr>
          <w:rFonts w:ascii="Times New Roman" w:hAnsi="Times New Roman"/>
          <w:sz w:val="24"/>
          <w:szCs w:val="24"/>
        </w:rPr>
      </w:pPr>
      <w:r w:rsidRPr="003C5C57">
        <w:rPr>
          <w:rFonts w:ascii="Times New Roman" w:hAnsi="Times New Roman"/>
          <w:sz w:val="24"/>
          <w:szCs w:val="24"/>
        </w:rPr>
        <w:tab/>
        <w:t xml:space="preserve">It refers to the creation of </w:t>
      </w:r>
      <w:r w:rsidR="008E042D" w:rsidRPr="003C5C57">
        <w:rPr>
          <w:rFonts w:ascii="Times New Roman" w:hAnsi="Times New Roman"/>
          <w:sz w:val="24"/>
          <w:szCs w:val="24"/>
        </w:rPr>
        <w:t>targets and comparators through collection of data which permits comparable levels of performance to be recognized</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Cull et al., 2014</w:t>
      </w:r>
      <w:r w:rsidR="00A3432A" w:rsidRPr="003C5C57">
        <w:rPr>
          <w:rFonts w:ascii="Times New Roman" w:hAnsi="Times New Roman"/>
          <w:sz w:val="24"/>
          <w:szCs w:val="24"/>
        </w:rPr>
        <w:t>)</w:t>
      </w:r>
      <w:r w:rsidR="008E042D" w:rsidRPr="003C5C57">
        <w:rPr>
          <w:rFonts w:ascii="Times New Roman" w:hAnsi="Times New Roman"/>
          <w:sz w:val="24"/>
          <w:szCs w:val="24"/>
        </w:rPr>
        <w:t xml:space="preserve">. </w:t>
      </w:r>
    </w:p>
    <w:p w:rsidR="000205CC" w:rsidRPr="003C5C57" w:rsidRDefault="004B6AC9" w:rsidP="00BA6DE8">
      <w:pPr>
        <w:pStyle w:val="Heading3"/>
        <w:spacing w:line="480" w:lineRule="auto"/>
        <w:contextualSpacing/>
        <w:rPr>
          <w:rFonts w:ascii="Times New Roman" w:hAnsi="Times New Roman"/>
        </w:rPr>
      </w:pPr>
      <w:bookmarkStart w:id="57" w:name="_Toc528427691"/>
      <w:r w:rsidRPr="003C5C57">
        <w:rPr>
          <w:rFonts w:ascii="Times New Roman" w:hAnsi="Times New Roman"/>
        </w:rPr>
        <w:t>T</w:t>
      </w:r>
      <w:r w:rsidR="000205CC" w:rsidRPr="003C5C57">
        <w:rPr>
          <w:rFonts w:ascii="Times New Roman" w:hAnsi="Times New Roman"/>
        </w:rPr>
        <w:t>ypes</w:t>
      </w:r>
      <w:r w:rsidR="008E042D" w:rsidRPr="003C5C57">
        <w:rPr>
          <w:rFonts w:ascii="Times New Roman" w:hAnsi="Times New Roman"/>
        </w:rPr>
        <w:t>:</w:t>
      </w:r>
      <w:bookmarkEnd w:id="57"/>
      <w:r w:rsidR="008E042D" w:rsidRPr="003C5C57">
        <w:rPr>
          <w:rFonts w:ascii="Times New Roman" w:hAnsi="Times New Roman"/>
        </w:rPr>
        <w:t xml:space="preserve"> </w:t>
      </w:r>
    </w:p>
    <w:p w:rsidR="008E042D" w:rsidRPr="003C5C57" w:rsidRDefault="008E042D" w:rsidP="00BA6DE8">
      <w:pPr>
        <w:spacing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types of benchmarking are internal, functional, competitive and strategic. </w:t>
      </w:r>
    </w:p>
    <w:p w:rsidR="00CD457C" w:rsidRPr="003C5C57" w:rsidRDefault="008E042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lastRenderedPageBreak/>
        <w:t xml:space="preserve">Functional benchmarking: </w:t>
      </w:r>
    </w:p>
    <w:p w:rsidR="008E042D" w:rsidRPr="003C5C57" w:rsidRDefault="008E042D"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This entails comparison of a firm with a similar function such as selling, dispatch or handling in another organization which is not a direct competitor. </w:t>
      </w:r>
    </w:p>
    <w:p w:rsidR="00CD457C" w:rsidRPr="003C5C57" w:rsidRDefault="008E042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Competitive benchmarking:</w:t>
      </w:r>
    </w:p>
    <w:p w:rsidR="008E042D" w:rsidRPr="003C5C57" w:rsidRDefault="008E042D"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 This is whereby the organization utilizes the most successful competitor as its benchmark by observing the performance of the rival frim. For example, observing the speed with which its benchmark firm process customer orders. </w:t>
      </w:r>
    </w:p>
    <w:p w:rsidR="00CD457C" w:rsidRPr="003C5C57" w:rsidRDefault="008E042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Strategic Benchmarking: </w:t>
      </w:r>
    </w:p>
    <w:p w:rsidR="008E042D" w:rsidRPr="003C5C57" w:rsidRDefault="0025510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This is where the companies in the industry agree and participate in a collaborative benchmarking process with an independent third </w:t>
      </w:r>
      <w:r w:rsidR="00CD457C" w:rsidRPr="003C5C57">
        <w:rPr>
          <w:rFonts w:ascii="Times New Roman" w:hAnsi="Times New Roman"/>
          <w:sz w:val="24"/>
          <w:szCs w:val="24"/>
        </w:rPr>
        <w:t>party</w:t>
      </w:r>
      <w:r w:rsidRPr="003C5C57">
        <w:rPr>
          <w:rFonts w:ascii="Times New Roman" w:hAnsi="Times New Roman"/>
          <w:sz w:val="24"/>
          <w:szCs w:val="24"/>
        </w:rPr>
        <w:t xml:space="preserve"> leading the process. </w:t>
      </w:r>
    </w:p>
    <w:p w:rsidR="00CD457C" w:rsidRPr="003C5C57" w:rsidRDefault="008E042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Internal Benchmarking: </w:t>
      </w:r>
    </w:p>
    <w:p w:rsidR="000205CC" w:rsidRPr="003C5C57" w:rsidRDefault="008E042D"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firm uses other units or departments within the firm itself as important benchmarks, especially for a large firm with </w:t>
      </w:r>
      <w:r w:rsidR="00255104" w:rsidRPr="003C5C57">
        <w:rPr>
          <w:rFonts w:ascii="Times New Roman" w:hAnsi="Times New Roman"/>
          <w:sz w:val="24"/>
          <w:szCs w:val="24"/>
        </w:rPr>
        <w:t xml:space="preserve">identical </w:t>
      </w:r>
      <w:r w:rsidRPr="003C5C57">
        <w:rPr>
          <w:rFonts w:ascii="Times New Roman" w:hAnsi="Times New Roman"/>
          <w:sz w:val="24"/>
          <w:szCs w:val="24"/>
        </w:rPr>
        <w:t>sub</w:t>
      </w:r>
      <w:r w:rsidR="00255104" w:rsidRPr="003C5C57">
        <w:rPr>
          <w:rFonts w:ascii="Times New Roman" w:hAnsi="Times New Roman"/>
          <w:sz w:val="24"/>
          <w:szCs w:val="24"/>
        </w:rPr>
        <w:t>-divisions (regional segments).</w:t>
      </w:r>
      <w:bookmarkStart w:id="58" w:name="_Toc513903689"/>
      <w:bookmarkStart w:id="59" w:name="_Toc513908461"/>
    </w:p>
    <w:p w:rsidR="000205CC" w:rsidRPr="003C5C57" w:rsidRDefault="000205CC" w:rsidP="00BA6DE8">
      <w:pPr>
        <w:pStyle w:val="Heading2"/>
        <w:spacing w:line="480" w:lineRule="auto"/>
        <w:contextualSpacing/>
        <w:rPr>
          <w:rFonts w:ascii="Times New Roman" w:hAnsi="Times New Roman"/>
          <w:sz w:val="24"/>
          <w:szCs w:val="24"/>
        </w:rPr>
      </w:pPr>
      <w:bookmarkStart w:id="60" w:name="_Toc528427692"/>
      <w:r w:rsidRPr="003C5C57">
        <w:rPr>
          <w:rFonts w:ascii="Times New Roman" w:hAnsi="Times New Roman"/>
          <w:sz w:val="24"/>
          <w:szCs w:val="24"/>
        </w:rPr>
        <w:t>Balance Scorecards (BSC)</w:t>
      </w:r>
      <w:bookmarkEnd w:id="58"/>
      <w:bookmarkEnd w:id="59"/>
      <w:bookmarkEnd w:id="60"/>
    </w:p>
    <w:p w:rsidR="00255104" w:rsidRPr="003C5C57" w:rsidRDefault="00255104"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It is a non-financial measure use to appraise the performance of the business as an advanced performance measurement tool. BSC assist the firm to plan and permits target-setting linked to appropriate performance objectives and measures by managers</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Akkermans &amp; Van Oorschot, 2018</w:t>
      </w:r>
      <w:r w:rsidR="00A3432A" w:rsidRPr="003C5C57">
        <w:rPr>
          <w:rFonts w:ascii="Times New Roman" w:hAnsi="Times New Roman"/>
          <w:sz w:val="24"/>
          <w:szCs w:val="24"/>
        </w:rPr>
        <w:t>)</w:t>
      </w:r>
      <w:r w:rsidRPr="003C5C57">
        <w:rPr>
          <w:rFonts w:ascii="Times New Roman" w:hAnsi="Times New Roman"/>
          <w:sz w:val="24"/>
          <w:szCs w:val="24"/>
        </w:rPr>
        <w:t xml:space="preserve">. BSC has such four perspectives as financial, internal efficiency, learning and growth and customer.  </w:t>
      </w:r>
    </w:p>
    <w:p w:rsidR="000205CC" w:rsidRPr="003C5C57" w:rsidRDefault="008558E1" w:rsidP="00BA6DE8">
      <w:pPr>
        <w:spacing w:after="0" w:line="480" w:lineRule="auto"/>
        <w:contextualSpacing/>
        <w:jc w:val="both"/>
        <w:rPr>
          <w:rFonts w:ascii="Times New Roman" w:hAnsi="Times New Roman"/>
          <w:b/>
          <w:sz w:val="24"/>
          <w:szCs w:val="24"/>
        </w:rPr>
      </w:pPr>
      <w:bookmarkStart w:id="61" w:name="_Toc513903690"/>
      <w:bookmarkStart w:id="62" w:name="_Toc513908462"/>
      <w:r w:rsidRPr="003C5C57">
        <w:rPr>
          <w:rFonts w:ascii="Times New Roman" w:hAnsi="Times New Roman"/>
          <w:noProof/>
          <w:sz w:val="24"/>
          <w:szCs w:val="24"/>
        </w:rPr>
        <w:lastRenderedPageBreak/>
        <w:drawing>
          <wp:inline distT="0" distB="0" distL="0" distR="0">
            <wp:extent cx="5054600" cy="3094355"/>
            <wp:effectExtent l="0" t="0" r="0" b="0"/>
            <wp:docPr id="1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54600" cy="3094355"/>
                    </a:xfrm>
                    <a:prstGeom prst="rect">
                      <a:avLst/>
                    </a:prstGeom>
                    <a:noFill/>
                    <a:ln>
                      <a:noFill/>
                    </a:ln>
                  </pic:spPr>
                </pic:pic>
              </a:graphicData>
            </a:graphic>
          </wp:inline>
        </w:drawing>
      </w:r>
    </w:p>
    <w:p w:rsidR="00CD457C" w:rsidRPr="003C5C57" w:rsidRDefault="00255104" w:rsidP="00BA6DE8">
      <w:pPr>
        <w:pStyle w:val="Heading3"/>
        <w:spacing w:line="480" w:lineRule="auto"/>
        <w:contextualSpacing/>
        <w:rPr>
          <w:rFonts w:ascii="Times New Roman" w:hAnsi="Times New Roman"/>
        </w:rPr>
      </w:pPr>
      <w:bookmarkStart w:id="63" w:name="_Toc528427693"/>
      <w:r w:rsidRPr="003C5C57">
        <w:rPr>
          <w:rFonts w:ascii="Times New Roman" w:hAnsi="Times New Roman"/>
        </w:rPr>
        <w:t>Financial:</w:t>
      </w:r>
      <w:bookmarkEnd w:id="63"/>
      <w:r w:rsidRPr="003C5C57">
        <w:rPr>
          <w:rFonts w:ascii="Times New Roman" w:hAnsi="Times New Roman"/>
        </w:rPr>
        <w:t xml:space="preserve"> </w:t>
      </w:r>
    </w:p>
    <w:p w:rsidR="00255104" w:rsidRPr="003C5C57" w:rsidRDefault="009B6F72" w:rsidP="00BA6DE8">
      <w:pPr>
        <w:spacing w:after="0" w:line="480" w:lineRule="auto"/>
        <w:ind w:firstLine="720"/>
        <w:contextualSpacing/>
        <w:jc w:val="both"/>
        <w:rPr>
          <w:rFonts w:ascii="Times New Roman" w:hAnsi="Times New Roman"/>
          <w:b/>
          <w:sz w:val="24"/>
          <w:szCs w:val="24"/>
        </w:rPr>
      </w:pPr>
      <w:r w:rsidRPr="003C5C57">
        <w:rPr>
          <w:rFonts w:ascii="Times New Roman" w:hAnsi="Times New Roman"/>
          <w:sz w:val="24"/>
          <w:szCs w:val="24"/>
        </w:rPr>
        <w:t xml:space="preserve">It focuses on satisfying shareholder’s value. It is measured by return on shareholder funds and ROCE and </w:t>
      </w:r>
    </w:p>
    <w:p w:rsidR="00CD457C" w:rsidRPr="003C5C57" w:rsidRDefault="00255104" w:rsidP="00BA6DE8">
      <w:pPr>
        <w:pStyle w:val="Heading3"/>
        <w:spacing w:line="480" w:lineRule="auto"/>
        <w:contextualSpacing/>
        <w:rPr>
          <w:rFonts w:ascii="Times New Roman" w:hAnsi="Times New Roman"/>
        </w:rPr>
      </w:pPr>
      <w:bookmarkStart w:id="64" w:name="_Toc528427694"/>
      <w:r w:rsidRPr="003C5C57">
        <w:rPr>
          <w:rFonts w:ascii="Times New Roman" w:hAnsi="Times New Roman"/>
        </w:rPr>
        <w:t>Internal efficiency:</w:t>
      </w:r>
      <w:bookmarkEnd w:id="64"/>
      <w:r w:rsidR="009B6F72" w:rsidRPr="003C5C57">
        <w:rPr>
          <w:rFonts w:ascii="Times New Roman" w:hAnsi="Times New Roman"/>
        </w:rPr>
        <w:t xml:space="preserve"> </w:t>
      </w:r>
    </w:p>
    <w:p w:rsidR="00255104" w:rsidRPr="003C5C57" w:rsidRDefault="009B6F7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Measures firm’s output hinged on technical excellence and customer needs and indicated by quality and unit costs. </w:t>
      </w:r>
    </w:p>
    <w:p w:rsidR="00CD457C" w:rsidRPr="003C5C57" w:rsidRDefault="00255104" w:rsidP="00BA6DE8">
      <w:pPr>
        <w:pStyle w:val="Heading3"/>
        <w:spacing w:line="480" w:lineRule="auto"/>
        <w:contextualSpacing/>
        <w:rPr>
          <w:rFonts w:ascii="Times New Roman" w:hAnsi="Times New Roman"/>
        </w:rPr>
      </w:pPr>
      <w:bookmarkStart w:id="65" w:name="_Toc528427695"/>
      <w:r w:rsidRPr="003C5C57">
        <w:rPr>
          <w:rFonts w:ascii="Times New Roman" w:hAnsi="Times New Roman"/>
        </w:rPr>
        <w:t>Learning and growth:</w:t>
      </w:r>
      <w:bookmarkEnd w:id="65"/>
      <w:r w:rsidRPr="003C5C57">
        <w:rPr>
          <w:rFonts w:ascii="Times New Roman" w:hAnsi="Times New Roman"/>
        </w:rPr>
        <w:t xml:space="preserve"> </w:t>
      </w:r>
    </w:p>
    <w:p w:rsidR="00255104" w:rsidRPr="003C5C57" w:rsidRDefault="009B6F7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It stresses on endless enhancement need for the present commodities and techniques and development of novel ones to meet altering customer’s needs. It measured by revenue % attributable to new commodities.</w:t>
      </w:r>
    </w:p>
    <w:p w:rsidR="00CD457C" w:rsidRPr="003C5C57" w:rsidRDefault="00255104" w:rsidP="00BA6DE8">
      <w:pPr>
        <w:pStyle w:val="Heading3"/>
        <w:spacing w:line="480" w:lineRule="auto"/>
        <w:contextualSpacing/>
        <w:rPr>
          <w:rFonts w:ascii="Times New Roman" w:hAnsi="Times New Roman"/>
        </w:rPr>
      </w:pPr>
      <w:r w:rsidRPr="003C5C57">
        <w:rPr>
          <w:rFonts w:ascii="Times New Roman" w:hAnsi="Times New Roman"/>
        </w:rPr>
        <w:lastRenderedPageBreak/>
        <w:t xml:space="preserve"> </w:t>
      </w:r>
      <w:bookmarkStart w:id="66" w:name="_Toc528427696"/>
      <w:r w:rsidRPr="003C5C57">
        <w:rPr>
          <w:rFonts w:ascii="Times New Roman" w:hAnsi="Times New Roman"/>
        </w:rPr>
        <w:t>Customer:</w:t>
      </w:r>
      <w:bookmarkEnd w:id="66"/>
      <w:r w:rsidRPr="003C5C57">
        <w:rPr>
          <w:rFonts w:ascii="Times New Roman" w:hAnsi="Times New Roman"/>
        </w:rPr>
        <w:t xml:space="preserve"> </w:t>
      </w:r>
    </w:p>
    <w:p w:rsidR="00255104" w:rsidRPr="003C5C57" w:rsidRDefault="009B6F7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Measures firm’s view on eye of customer by customer’s satisfaction and indicators are loyalty and satisfaction of customers with timeliness. </w:t>
      </w:r>
    </w:p>
    <w:p w:rsidR="000205CC" w:rsidRPr="003C5C57" w:rsidRDefault="000205CC" w:rsidP="00BA6DE8">
      <w:pPr>
        <w:pStyle w:val="Heading2"/>
        <w:spacing w:line="480" w:lineRule="auto"/>
        <w:contextualSpacing/>
        <w:rPr>
          <w:rFonts w:ascii="Times New Roman" w:hAnsi="Times New Roman"/>
          <w:sz w:val="24"/>
          <w:szCs w:val="24"/>
        </w:rPr>
      </w:pPr>
      <w:bookmarkStart w:id="67" w:name="_Toc528427697"/>
      <w:r w:rsidRPr="003C5C57">
        <w:rPr>
          <w:rFonts w:ascii="Times New Roman" w:hAnsi="Times New Roman"/>
          <w:sz w:val="24"/>
          <w:szCs w:val="24"/>
        </w:rPr>
        <w:t>Product Life Cycle costing (PLCC)</w:t>
      </w:r>
      <w:bookmarkEnd w:id="61"/>
      <w:bookmarkEnd w:id="62"/>
      <w:bookmarkEnd w:id="67"/>
      <w:r w:rsidRPr="003C5C57">
        <w:rPr>
          <w:rFonts w:ascii="Times New Roman" w:hAnsi="Times New Roman"/>
          <w:sz w:val="24"/>
          <w:szCs w:val="24"/>
        </w:rPr>
        <w:t xml:space="preserve"> </w:t>
      </w:r>
    </w:p>
    <w:p w:rsidR="000205CC" w:rsidRPr="003C5C57" w:rsidRDefault="009B6F72"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It is both production and procurement costing tool that </w:t>
      </w:r>
      <w:r w:rsidR="001C0659" w:rsidRPr="003C5C57">
        <w:rPr>
          <w:rFonts w:ascii="Times New Roman" w:hAnsi="Times New Roman"/>
          <w:sz w:val="24"/>
          <w:szCs w:val="24"/>
        </w:rPr>
        <w:t>takes into account each life cycle cost. It is used in procurement to determine the least cost of owning a fixed asset including purchase price, installation cost, operation cost, maintenance cost, upgrading cost and additional costs in the course of economic life of an asset. It help track and gather actual revenues and costs attachable to costs object from the point it is invented to disposal</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Gmelin &amp; Seuring, 2014</w:t>
      </w:r>
      <w:r w:rsidR="00A3432A" w:rsidRPr="003C5C57">
        <w:rPr>
          <w:rFonts w:ascii="Times New Roman" w:hAnsi="Times New Roman"/>
          <w:sz w:val="24"/>
          <w:szCs w:val="24"/>
        </w:rPr>
        <w:t>)</w:t>
      </w:r>
      <w:r w:rsidR="001C0659" w:rsidRPr="003C5C57">
        <w:rPr>
          <w:rFonts w:ascii="Times New Roman" w:hAnsi="Times New Roman"/>
          <w:sz w:val="24"/>
          <w:szCs w:val="24"/>
        </w:rPr>
        <w:t>. It traces revenues and cots on a given product by product base over many calendar years.  Useful in making such decisions on acquiring, maintaining, refurbishing or disposing to be executed in respect to complete cost implication. It is a mechanism to estimate all costs pertinent to procurement, operation, maintenance and eventually disposal of a product in its entire life.</w:t>
      </w:r>
      <w:bookmarkStart w:id="68" w:name="_Toc513903691"/>
      <w:bookmarkStart w:id="69" w:name="_Toc513908463"/>
    </w:p>
    <w:p w:rsidR="000205CC" w:rsidRPr="003C5C57" w:rsidRDefault="000205CC" w:rsidP="00BA6DE8">
      <w:pPr>
        <w:pStyle w:val="Heading2"/>
        <w:spacing w:line="480" w:lineRule="auto"/>
        <w:contextualSpacing/>
        <w:rPr>
          <w:rFonts w:ascii="Times New Roman" w:hAnsi="Times New Roman"/>
          <w:sz w:val="24"/>
          <w:szCs w:val="24"/>
        </w:rPr>
      </w:pPr>
      <w:bookmarkStart w:id="70" w:name="_Toc528427698"/>
      <w:r w:rsidRPr="003C5C57">
        <w:rPr>
          <w:rFonts w:ascii="Times New Roman" w:hAnsi="Times New Roman"/>
          <w:sz w:val="24"/>
          <w:szCs w:val="24"/>
        </w:rPr>
        <w:t>Target Costing (TC)</w:t>
      </w:r>
      <w:bookmarkEnd w:id="68"/>
      <w:bookmarkEnd w:id="69"/>
      <w:bookmarkEnd w:id="70"/>
      <w:r w:rsidRPr="003C5C57">
        <w:rPr>
          <w:rFonts w:ascii="Times New Roman" w:hAnsi="Times New Roman"/>
          <w:sz w:val="24"/>
          <w:szCs w:val="24"/>
        </w:rPr>
        <w:t xml:space="preserve"> </w:t>
      </w:r>
    </w:p>
    <w:p w:rsidR="000205CC" w:rsidRPr="003C5C57" w:rsidRDefault="001C0659"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It is a method of determining the life-cycle cost </w:t>
      </w:r>
      <w:r w:rsidR="00407213" w:rsidRPr="003C5C57">
        <w:rPr>
          <w:rFonts w:ascii="Times New Roman" w:hAnsi="Times New Roman"/>
          <w:sz w:val="24"/>
          <w:szCs w:val="24"/>
        </w:rPr>
        <w:t>of a product that need to be adequate to create a particular quality and functionality, and concurrently guaranteeing its anticipated profit. TC entails target cost setting through the subtraction of optimal profit margin from the market competitive price</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Cooper, 2017</w:t>
      </w:r>
      <w:r w:rsidR="00A3432A" w:rsidRPr="003C5C57">
        <w:rPr>
          <w:rFonts w:ascii="Times New Roman" w:hAnsi="Times New Roman"/>
          <w:sz w:val="24"/>
          <w:szCs w:val="24"/>
        </w:rPr>
        <w:t>)</w:t>
      </w:r>
      <w:r w:rsidR="00407213" w:rsidRPr="003C5C57">
        <w:rPr>
          <w:rFonts w:ascii="Times New Roman" w:hAnsi="Times New Roman"/>
          <w:sz w:val="24"/>
          <w:szCs w:val="24"/>
        </w:rPr>
        <w:t xml:space="preserve">. TC is the max value of cost which is capable of being incurred on a given product, nevertheless the business may still be earning desired profit margin from a commodity at a given price (selling). TC is decomposed from level of product to constituent level thus spreading competitive pressure facing a firm to suppliers and designers of a commodity.   </w:t>
      </w:r>
      <w:bookmarkStart w:id="71" w:name="_Toc513903692"/>
      <w:bookmarkStart w:id="72" w:name="_Toc513908464"/>
    </w:p>
    <w:p w:rsidR="000205CC" w:rsidRPr="003C5C57" w:rsidRDefault="000205CC" w:rsidP="00BA6DE8">
      <w:pPr>
        <w:pStyle w:val="Heading2"/>
        <w:spacing w:line="480" w:lineRule="auto"/>
        <w:contextualSpacing/>
        <w:rPr>
          <w:rFonts w:ascii="Times New Roman" w:hAnsi="Times New Roman"/>
          <w:sz w:val="24"/>
          <w:szCs w:val="24"/>
        </w:rPr>
      </w:pPr>
      <w:bookmarkStart w:id="73" w:name="_Toc528427699"/>
      <w:r w:rsidRPr="003C5C57">
        <w:rPr>
          <w:rFonts w:ascii="Times New Roman" w:hAnsi="Times New Roman"/>
          <w:sz w:val="24"/>
          <w:szCs w:val="24"/>
        </w:rPr>
        <w:lastRenderedPageBreak/>
        <w:t>Throughput accounting (TA)</w:t>
      </w:r>
      <w:bookmarkEnd w:id="71"/>
      <w:bookmarkEnd w:id="72"/>
      <w:bookmarkEnd w:id="73"/>
      <w:r w:rsidRPr="003C5C57">
        <w:rPr>
          <w:rFonts w:ascii="Times New Roman" w:hAnsi="Times New Roman"/>
          <w:sz w:val="24"/>
          <w:szCs w:val="24"/>
        </w:rPr>
        <w:t xml:space="preserve"> </w:t>
      </w:r>
    </w:p>
    <w:p w:rsidR="000205CC" w:rsidRPr="003C5C57" w:rsidRDefault="00407213"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It is based on principle and a simplified approach of management accounting which offer managers support information for decision making to known improvement in profitability levels</w:t>
      </w:r>
      <w:r w:rsidR="0048574A" w:rsidRPr="003C5C57">
        <w:rPr>
          <w:rFonts w:ascii="Times New Roman" w:hAnsi="Times New Roman"/>
          <w:sz w:val="24"/>
          <w:szCs w:val="24"/>
        </w:rPr>
        <w:t xml:space="preserve"> (</w:t>
      </w:r>
      <w:r w:rsidR="0048574A" w:rsidRPr="003C5C57">
        <w:rPr>
          <w:rFonts w:ascii="Times New Roman" w:hAnsi="Times New Roman"/>
          <w:color w:val="222222"/>
          <w:sz w:val="24"/>
          <w:szCs w:val="24"/>
          <w:shd w:val="clear" w:color="auto" w:fill="FFFFFF"/>
        </w:rPr>
        <w:t>Hilmola &amp; Gupta, 2015</w:t>
      </w:r>
      <w:r w:rsidR="0048574A" w:rsidRPr="003C5C57">
        <w:rPr>
          <w:rFonts w:ascii="Times New Roman" w:hAnsi="Times New Roman"/>
          <w:sz w:val="24"/>
          <w:szCs w:val="24"/>
        </w:rPr>
        <w:t>)</w:t>
      </w:r>
      <w:r w:rsidRPr="003C5C57">
        <w:rPr>
          <w:rFonts w:ascii="Times New Roman" w:hAnsi="Times New Roman"/>
          <w:sz w:val="24"/>
          <w:szCs w:val="24"/>
        </w:rPr>
        <w:t xml:space="preserve">. It is comparatively novel approach and recognizes variables constraining a firm from hitting its goals. It stress subsequently on simple measures driving behavior in critical areas towards goal achievement. It is neither costing nor cost accounting </w:t>
      </w:r>
      <w:r w:rsidR="00DC18EB" w:rsidRPr="003C5C57">
        <w:rPr>
          <w:rFonts w:ascii="Times New Roman" w:hAnsi="Times New Roman"/>
          <w:sz w:val="24"/>
          <w:szCs w:val="24"/>
        </w:rPr>
        <w:t xml:space="preserve">since it remains cash-oriented and never allocates each cost to services and products provided or sold by a business. </w:t>
      </w:r>
      <w:bookmarkStart w:id="74" w:name="_Toc513903693"/>
      <w:bookmarkStart w:id="75" w:name="_Toc513908465"/>
    </w:p>
    <w:p w:rsidR="000205CC" w:rsidRPr="003C5C57" w:rsidRDefault="000205CC" w:rsidP="00BA6DE8">
      <w:pPr>
        <w:pStyle w:val="Heading2"/>
        <w:spacing w:line="480" w:lineRule="auto"/>
        <w:contextualSpacing/>
        <w:rPr>
          <w:rFonts w:ascii="Times New Roman" w:hAnsi="Times New Roman"/>
          <w:sz w:val="24"/>
          <w:szCs w:val="24"/>
        </w:rPr>
      </w:pPr>
      <w:bookmarkStart w:id="76" w:name="_Toc528427700"/>
      <w:r w:rsidRPr="003C5C57">
        <w:rPr>
          <w:rFonts w:ascii="Times New Roman" w:hAnsi="Times New Roman"/>
          <w:sz w:val="24"/>
          <w:szCs w:val="24"/>
        </w:rPr>
        <w:t>Value Chain Analysis (VCA)</w:t>
      </w:r>
      <w:bookmarkEnd w:id="74"/>
      <w:bookmarkEnd w:id="75"/>
      <w:bookmarkEnd w:id="76"/>
      <w:r w:rsidRPr="003C5C57">
        <w:rPr>
          <w:rFonts w:ascii="Times New Roman" w:hAnsi="Times New Roman"/>
          <w:sz w:val="24"/>
          <w:szCs w:val="24"/>
        </w:rPr>
        <w:t xml:space="preserve"> </w:t>
      </w:r>
    </w:p>
    <w:p w:rsidR="000205CC" w:rsidRPr="003C5C57" w:rsidRDefault="00DC18EB"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It is a process by which an enterprise acknowledges its support and primary activities which are valued-addition to its eventual product and subsequently scrutinize such activities to cut cost or surge differentiations</w:t>
      </w:r>
      <w:r w:rsidR="0048574A" w:rsidRPr="003C5C57">
        <w:rPr>
          <w:rFonts w:ascii="Times New Roman" w:hAnsi="Times New Roman"/>
          <w:sz w:val="24"/>
          <w:szCs w:val="24"/>
        </w:rPr>
        <w:t xml:space="preserve"> (</w:t>
      </w:r>
      <w:r w:rsidR="0048574A" w:rsidRPr="003C5C57">
        <w:rPr>
          <w:rFonts w:ascii="Times New Roman" w:hAnsi="Times New Roman"/>
          <w:color w:val="222222"/>
          <w:sz w:val="24"/>
          <w:szCs w:val="24"/>
          <w:shd w:val="clear" w:color="auto" w:fill="FFFFFF"/>
        </w:rPr>
        <w:t>Jaligot et al., 2016</w:t>
      </w:r>
      <w:r w:rsidR="0048574A" w:rsidRPr="003C5C57">
        <w:rPr>
          <w:rFonts w:ascii="Times New Roman" w:hAnsi="Times New Roman"/>
          <w:sz w:val="24"/>
          <w:szCs w:val="24"/>
        </w:rPr>
        <w:t>)</w:t>
      </w:r>
      <w:r w:rsidRPr="003C5C57">
        <w:rPr>
          <w:rFonts w:ascii="Times New Roman" w:hAnsi="Times New Roman"/>
          <w:sz w:val="24"/>
          <w:szCs w:val="24"/>
        </w:rPr>
        <w:t xml:space="preserve">. This approach analyzes firm activities internally with the main aim of recognizing the specific most valuable activities to the business and those that might be enhanced to create a competitive edge. </w:t>
      </w:r>
      <w:bookmarkStart w:id="77" w:name="_Toc513903694"/>
      <w:bookmarkStart w:id="78" w:name="_Toc513908466"/>
    </w:p>
    <w:p w:rsidR="000205CC" w:rsidRPr="003C5C57" w:rsidRDefault="000205CC" w:rsidP="00BA6DE8">
      <w:pPr>
        <w:pStyle w:val="Heading2"/>
        <w:spacing w:line="480" w:lineRule="auto"/>
        <w:contextualSpacing/>
        <w:rPr>
          <w:rFonts w:ascii="Times New Roman" w:hAnsi="Times New Roman"/>
          <w:sz w:val="24"/>
          <w:szCs w:val="24"/>
        </w:rPr>
      </w:pPr>
      <w:bookmarkStart w:id="79" w:name="_Toc528427701"/>
      <w:r w:rsidRPr="003C5C57">
        <w:rPr>
          <w:rFonts w:ascii="Times New Roman" w:hAnsi="Times New Roman"/>
          <w:sz w:val="24"/>
          <w:szCs w:val="24"/>
        </w:rPr>
        <w:t>Conclusion</w:t>
      </w:r>
      <w:bookmarkEnd w:id="77"/>
      <w:bookmarkEnd w:id="78"/>
      <w:bookmarkEnd w:id="79"/>
    </w:p>
    <w:p w:rsidR="00DC18EB" w:rsidRPr="003C5C57" w:rsidRDefault="00DC18EB" w:rsidP="00BA6DE8">
      <w:pPr>
        <w:spacing w:after="0" w:line="480" w:lineRule="auto"/>
        <w:contextualSpacing/>
        <w:jc w:val="both"/>
        <w:rPr>
          <w:rFonts w:ascii="Times New Roman" w:hAnsi="Times New Roman"/>
          <w:color w:val="000000"/>
          <w:sz w:val="24"/>
          <w:szCs w:val="24"/>
        </w:rPr>
      </w:pPr>
      <w:r w:rsidRPr="003C5C57">
        <w:rPr>
          <w:rFonts w:ascii="Times New Roman" w:hAnsi="Times New Roman"/>
          <w:b/>
          <w:sz w:val="24"/>
          <w:szCs w:val="24"/>
        </w:rPr>
        <w:tab/>
      </w:r>
      <w:r w:rsidRPr="003C5C57">
        <w:rPr>
          <w:rFonts w:ascii="Times New Roman" w:hAnsi="Times New Roman"/>
          <w:b/>
          <w:sz w:val="24"/>
          <w:szCs w:val="24"/>
        </w:rPr>
        <w:tab/>
      </w:r>
      <w:r w:rsidRPr="003C5C57">
        <w:rPr>
          <w:rFonts w:ascii="Times New Roman" w:hAnsi="Times New Roman"/>
          <w:color w:val="000000"/>
          <w:sz w:val="24"/>
          <w:szCs w:val="24"/>
        </w:rPr>
        <w:t>Budgeting influence performance management aspect since there is a direct linkage between budgeting and ability to improve performance. Various techniques for performance measure have been presented in this section including VCA, TA, T</w:t>
      </w:r>
      <w:r w:rsidR="00B648C4" w:rsidRPr="003C5C57">
        <w:rPr>
          <w:rFonts w:ascii="Times New Roman" w:hAnsi="Times New Roman"/>
          <w:color w:val="000000"/>
          <w:sz w:val="24"/>
          <w:szCs w:val="24"/>
        </w:rPr>
        <w:t xml:space="preserve">C, PLCC, benchmarking and BSC. </w:t>
      </w:r>
    </w:p>
    <w:p w:rsidR="00A3432A" w:rsidRPr="003C5C57" w:rsidRDefault="00A3432A" w:rsidP="00BA6DE8">
      <w:pPr>
        <w:spacing w:after="0" w:line="480" w:lineRule="auto"/>
        <w:contextualSpacing/>
        <w:jc w:val="both"/>
        <w:rPr>
          <w:rFonts w:ascii="Times New Roman" w:hAnsi="Times New Roman"/>
          <w:color w:val="000000"/>
          <w:sz w:val="24"/>
          <w:szCs w:val="24"/>
        </w:rPr>
      </w:pPr>
    </w:p>
    <w:p w:rsidR="00A3432A" w:rsidRPr="003C5C57" w:rsidRDefault="00A3432A" w:rsidP="00BA6DE8">
      <w:pPr>
        <w:spacing w:after="0" w:line="480" w:lineRule="auto"/>
        <w:contextualSpacing/>
        <w:jc w:val="both"/>
        <w:rPr>
          <w:rFonts w:ascii="Times New Roman" w:hAnsi="Times New Roman"/>
          <w:color w:val="000000"/>
          <w:sz w:val="24"/>
          <w:szCs w:val="24"/>
        </w:rPr>
      </w:pPr>
    </w:p>
    <w:p w:rsidR="00A3432A" w:rsidRPr="003C5C57" w:rsidRDefault="00A3432A" w:rsidP="00BA6DE8">
      <w:pPr>
        <w:spacing w:after="0" w:line="480" w:lineRule="auto"/>
        <w:contextualSpacing/>
        <w:jc w:val="both"/>
        <w:rPr>
          <w:rFonts w:ascii="Times New Roman" w:hAnsi="Times New Roman"/>
          <w:color w:val="000000"/>
          <w:sz w:val="24"/>
          <w:szCs w:val="24"/>
        </w:rPr>
      </w:pPr>
    </w:p>
    <w:p w:rsidR="00A3432A" w:rsidRPr="003C5C57" w:rsidRDefault="00A3432A" w:rsidP="00BA6DE8">
      <w:pPr>
        <w:pStyle w:val="Heading2"/>
        <w:spacing w:line="480" w:lineRule="auto"/>
        <w:contextualSpacing/>
        <w:rPr>
          <w:rFonts w:ascii="Times New Roman" w:hAnsi="Times New Roman"/>
          <w:sz w:val="24"/>
          <w:szCs w:val="24"/>
        </w:rPr>
      </w:pPr>
      <w:bookmarkStart w:id="80" w:name="_Toc528427702"/>
      <w:r w:rsidRPr="003C5C57">
        <w:rPr>
          <w:rFonts w:ascii="Times New Roman" w:hAnsi="Times New Roman"/>
          <w:sz w:val="24"/>
          <w:szCs w:val="24"/>
        </w:rPr>
        <w:lastRenderedPageBreak/>
        <w:t>References</w:t>
      </w:r>
      <w:bookmarkEnd w:id="80"/>
    </w:p>
    <w:p w:rsidR="0048574A" w:rsidRPr="003C5C57" w:rsidRDefault="0048574A"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Akkermans, H. A., &amp; Van Oorschot, K. E. (2018). Relevance assumed: a case study of balanced scorecard development using system dynamics. In </w:t>
      </w:r>
      <w:r w:rsidRPr="003C5C57">
        <w:rPr>
          <w:rFonts w:ascii="Times New Roman" w:hAnsi="Times New Roman"/>
          <w:i/>
          <w:iCs/>
          <w:color w:val="222222"/>
          <w:sz w:val="24"/>
          <w:szCs w:val="24"/>
          <w:shd w:val="clear" w:color="auto" w:fill="FFFFFF"/>
        </w:rPr>
        <w:t>System Dynamics</w:t>
      </w:r>
      <w:r w:rsidRPr="003C5C57">
        <w:rPr>
          <w:rFonts w:ascii="Times New Roman" w:hAnsi="Times New Roman"/>
          <w:color w:val="222222"/>
          <w:sz w:val="24"/>
          <w:szCs w:val="24"/>
          <w:shd w:val="clear" w:color="auto" w:fill="FFFFFF"/>
        </w:rPr>
        <w:t> (pp. 107-132). Palgrave Macmillan, London.</w:t>
      </w:r>
    </w:p>
    <w:p w:rsidR="0048574A" w:rsidRPr="003C5C57" w:rsidRDefault="0048574A"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Cooper, R. (2017). </w:t>
      </w:r>
      <w:r w:rsidRPr="003C5C57">
        <w:rPr>
          <w:rFonts w:ascii="Times New Roman" w:hAnsi="Times New Roman"/>
          <w:i/>
          <w:iCs/>
          <w:color w:val="222222"/>
          <w:sz w:val="24"/>
          <w:szCs w:val="24"/>
          <w:shd w:val="clear" w:color="auto" w:fill="FFFFFF"/>
        </w:rPr>
        <w:t>Target costing and value engineering</w:t>
      </w:r>
      <w:r w:rsidRPr="003C5C57">
        <w:rPr>
          <w:rFonts w:ascii="Times New Roman" w:hAnsi="Times New Roman"/>
          <w:color w:val="222222"/>
          <w:sz w:val="24"/>
          <w:szCs w:val="24"/>
          <w:shd w:val="clear" w:color="auto" w:fill="FFFFFF"/>
        </w:rPr>
        <w:t>. Routledge.</w:t>
      </w:r>
    </w:p>
    <w:p w:rsidR="0048574A" w:rsidRPr="003C5C57" w:rsidRDefault="0048574A"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Cull, R., Harten, S., Nishida, I., &amp; Bull, G. (2014). </w:t>
      </w:r>
      <w:r w:rsidRPr="003C5C57">
        <w:rPr>
          <w:rFonts w:ascii="Times New Roman" w:hAnsi="Times New Roman"/>
          <w:i/>
          <w:iCs/>
          <w:color w:val="222222"/>
          <w:sz w:val="24"/>
          <w:szCs w:val="24"/>
          <w:shd w:val="clear" w:color="auto" w:fill="FFFFFF"/>
        </w:rPr>
        <w:t>Benchmarking the financial performance, growth, and outreach of greenfield microfinance institutions in Sub-Saharan Africa</w:t>
      </w:r>
      <w:r w:rsidRPr="003C5C57">
        <w:rPr>
          <w:rFonts w:ascii="Times New Roman" w:hAnsi="Times New Roman"/>
          <w:color w:val="222222"/>
          <w:sz w:val="24"/>
          <w:szCs w:val="24"/>
          <w:shd w:val="clear" w:color="auto" w:fill="FFFFFF"/>
        </w:rPr>
        <w:t>. The World Bank.</w:t>
      </w:r>
    </w:p>
    <w:p w:rsidR="0048574A" w:rsidRPr="003C5C57" w:rsidRDefault="0048574A"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Gmelin, H., &amp; Seuring, S. (2014). Determinants of a sustainable new product development. </w:t>
      </w:r>
      <w:r w:rsidRPr="003C5C57">
        <w:rPr>
          <w:rFonts w:ascii="Times New Roman" w:hAnsi="Times New Roman"/>
          <w:i/>
          <w:iCs/>
          <w:color w:val="222222"/>
          <w:sz w:val="24"/>
          <w:szCs w:val="24"/>
          <w:shd w:val="clear" w:color="auto" w:fill="FFFFFF"/>
        </w:rPr>
        <w:t>Journal of Cleaner production</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69</w:t>
      </w:r>
      <w:r w:rsidRPr="003C5C57">
        <w:rPr>
          <w:rFonts w:ascii="Times New Roman" w:hAnsi="Times New Roman"/>
          <w:color w:val="222222"/>
          <w:sz w:val="24"/>
          <w:szCs w:val="24"/>
          <w:shd w:val="clear" w:color="auto" w:fill="FFFFFF"/>
        </w:rPr>
        <w:t>, 1-9.</w:t>
      </w:r>
    </w:p>
    <w:p w:rsidR="0048574A" w:rsidRPr="003C5C57" w:rsidRDefault="0048574A"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Hilmola, O. P., &amp; Gupta, M. (2015). Throughput accounting and performance of a manufacturing company under stochastic demand and scrap rates. </w:t>
      </w:r>
      <w:r w:rsidRPr="003C5C57">
        <w:rPr>
          <w:rFonts w:ascii="Times New Roman" w:hAnsi="Times New Roman"/>
          <w:i/>
          <w:iCs/>
          <w:color w:val="222222"/>
          <w:sz w:val="24"/>
          <w:szCs w:val="24"/>
          <w:shd w:val="clear" w:color="auto" w:fill="FFFFFF"/>
        </w:rPr>
        <w:t>Expert Systems with Applications</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42</w:t>
      </w:r>
      <w:r w:rsidRPr="003C5C57">
        <w:rPr>
          <w:rFonts w:ascii="Times New Roman" w:hAnsi="Times New Roman"/>
          <w:color w:val="222222"/>
          <w:sz w:val="24"/>
          <w:szCs w:val="24"/>
          <w:shd w:val="clear" w:color="auto" w:fill="FFFFFF"/>
        </w:rPr>
        <w:t>(22), 8423-8431.</w:t>
      </w:r>
    </w:p>
    <w:p w:rsidR="0048574A" w:rsidRPr="003C5C57" w:rsidRDefault="0048574A" w:rsidP="00BA6DE8">
      <w:pPr>
        <w:spacing w:after="0" w:line="480" w:lineRule="auto"/>
        <w:ind w:left="720" w:hanging="720"/>
        <w:contextualSpacing/>
        <w:jc w:val="both"/>
        <w:rPr>
          <w:rFonts w:ascii="Times New Roman" w:hAnsi="Times New Roman"/>
          <w:b/>
          <w:color w:val="000000"/>
          <w:sz w:val="24"/>
          <w:szCs w:val="24"/>
        </w:rPr>
      </w:pPr>
      <w:r w:rsidRPr="003C5C57">
        <w:rPr>
          <w:rFonts w:ascii="Times New Roman" w:hAnsi="Times New Roman"/>
          <w:color w:val="222222"/>
          <w:sz w:val="24"/>
          <w:szCs w:val="24"/>
          <w:shd w:val="clear" w:color="auto" w:fill="FFFFFF"/>
        </w:rPr>
        <w:t>Jaligot, R., Wilson, D. C., Cheeseman, C. R., Shaker, B., &amp; Stretz, J. (2016). Applying value chain analysis to informal sector recycling: A case study of the Zabaleen. </w:t>
      </w:r>
      <w:r w:rsidRPr="003C5C57">
        <w:rPr>
          <w:rFonts w:ascii="Times New Roman" w:hAnsi="Times New Roman"/>
          <w:i/>
          <w:iCs/>
          <w:color w:val="222222"/>
          <w:sz w:val="24"/>
          <w:szCs w:val="24"/>
          <w:shd w:val="clear" w:color="auto" w:fill="FFFFFF"/>
        </w:rPr>
        <w:t>Resources, Conservation and Recycling</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114</w:t>
      </w:r>
      <w:r w:rsidRPr="003C5C57">
        <w:rPr>
          <w:rFonts w:ascii="Times New Roman" w:hAnsi="Times New Roman"/>
          <w:color w:val="222222"/>
          <w:sz w:val="24"/>
          <w:szCs w:val="24"/>
          <w:shd w:val="clear" w:color="auto" w:fill="FFFFFF"/>
        </w:rPr>
        <w:t>, 80-91.</w:t>
      </w:r>
    </w:p>
    <w:p w:rsidR="00A3432A" w:rsidRPr="003C5C57" w:rsidRDefault="00A3432A" w:rsidP="00BA6DE8">
      <w:pPr>
        <w:spacing w:after="0" w:line="480" w:lineRule="auto"/>
        <w:contextualSpacing/>
        <w:jc w:val="center"/>
        <w:rPr>
          <w:rFonts w:ascii="Times New Roman" w:hAnsi="Times New Roman"/>
          <w:b/>
          <w:color w:val="000000"/>
          <w:sz w:val="24"/>
          <w:szCs w:val="24"/>
        </w:rPr>
      </w:pPr>
    </w:p>
    <w:p w:rsidR="00A3432A" w:rsidRPr="003C5C57" w:rsidRDefault="00A3432A" w:rsidP="00BA6DE8">
      <w:pPr>
        <w:spacing w:after="0" w:line="480" w:lineRule="auto"/>
        <w:contextualSpacing/>
        <w:jc w:val="center"/>
        <w:rPr>
          <w:rFonts w:ascii="Times New Roman" w:hAnsi="Times New Roman"/>
          <w:b/>
          <w:color w:val="000000"/>
          <w:sz w:val="24"/>
          <w:szCs w:val="24"/>
        </w:rPr>
      </w:pPr>
    </w:p>
    <w:p w:rsidR="00A3432A" w:rsidRPr="003C5C57" w:rsidRDefault="00A3432A" w:rsidP="00BA6DE8">
      <w:pPr>
        <w:spacing w:after="0" w:line="480" w:lineRule="auto"/>
        <w:contextualSpacing/>
        <w:jc w:val="center"/>
        <w:rPr>
          <w:rFonts w:ascii="Times New Roman" w:hAnsi="Times New Roman"/>
          <w:b/>
          <w:color w:val="000000"/>
          <w:sz w:val="24"/>
          <w:szCs w:val="24"/>
        </w:rPr>
      </w:pPr>
    </w:p>
    <w:p w:rsidR="00A3432A" w:rsidRPr="003C5C57" w:rsidRDefault="00A3432A" w:rsidP="00BA6DE8">
      <w:pPr>
        <w:spacing w:after="0" w:line="480" w:lineRule="auto"/>
        <w:contextualSpacing/>
        <w:jc w:val="center"/>
        <w:rPr>
          <w:rFonts w:ascii="Times New Roman" w:hAnsi="Times New Roman"/>
          <w:b/>
          <w:color w:val="000000"/>
          <w:sz w:val="24"/>
          <w:szCs w:val="24"/>
        </w:rPr>
      </w:pPr>
    </w:p>
    <w:p w:rsidR="00A3432A" w:rsidRPr="003C5C57" w:rsidRDefault="00A3432A" w:rsidP="00BA6DE8">
      <w:pPr>
        <w:spacing w:after="0" w:line="480" w:lineRule="auto"/>
        <w:contextualSpacing/>
        <w:jc w:val="center"/>
        <w:rPr>
          <w:rFonts w:ascii="Times New Roman" w:hAnsi="Times New Roman"/>
          <w:b/>
          <w:color w:val="000000"/>
          <w:sz w:val="24"/>
          <w:szCs w:val="24"/>
        </w:rPr>
      </w:pPr>
    </w:p>
    <w:p w:rsidR="00A3432A" w:rsidRPr="003C5C57" w:rsidRDefault="00A3432A" w:rsidP="00BA6DE8">
      <w:pPr>
        <w:spacing w:after="0" w:line="480" w:lineRule="auto"/>
        <w:contextualSpacing/>
        <w:rPr>
          <w:rFonts w:ascii="Times New Roman" w:hAnsi="Times New Roman"/>
          <w:b/>
          <w:color w:val="000000"/>
          <w:sz w:val="24"/>
          <w:szCs w:val="24"/>
        </w:rPr>
      </w:pPr>
    </w:p>
    <w:p w:rsidR="00BA6DE8" w:rsidRPr="003C5C57" w:rsidRDefault="00BA6DE8" w:rsidP="003C5C57">
      <w:pPr>
        <w:spacing w:after="0" w:line="480" w:lineRule="auto"/>
        <w:contextualSpacing/>
        <w:rPr>
          <w:rFonts w:ascii="Times New Roman" w:hAnsi="Times New Roman"/>
          <w:b/>
          <w:color w:val="000000"/>
          <w:sz w:val="24"/>
          <w:szCs w:val="24"/>
        </w:rPr>
      </w:pPr>
    </w:p>
    <w:p w:rsidR="00DC18EB" w:rsidRPr="003C5C57" w:rsidRDefault="00DC18EB" w:rsidP="00BA6DE8">
      <w:pPr>
        <w:pStyle w:val="Heading1"/>
        <w:spacing w:line="480" w:lineRule="auto"/>
        <w:contextualSpacing/>
        <w:rPr>
          <w:rFonts w:ascii="Times New Roman" w:hAnsi="Times New Roman"/>
          <w:sz w:val="24"/>
          <w:szCs w:val="24"/>
        </w:rPr>
      </w:pPr>
      <w:bookmarkStart w:id="81" w:name="_Toc528427703"/>
      <w:r w:rsidRPr="003C5C57">
        <w:rPr>
          <w:rFonts w:ascii="Times New Roman" w:hAnsi="Times New Roman"/>
          <w:sz w:val="24"/>
          <w:szCs w:val="24"/>
        </w:rPr>
        <w:lastRenderedPageBreak/>
        <w:t>Task 4: Key Considerations on Financial Proposal for Significant Expenditure</w:t>
      </w:r>
      <w:bookmarkEnd w:id="81"/>
    </w:p>
    <w:p w:rsidR="00761B43" w:rsidRPr="003C5C57" w:rsidRDefault="00761B43" w:rsidP="00BA6DE8">
      <w:pPr>
        <w:pStyle w:val="Heading2"/>
        <w:spacing w:line="480" w:lineRule="auto"/>
        <w:contextualSpacing/>
        <w:rPr>
          <w:rFonts w:ascii="Times New Roman" w:hAnsi="Times New Roman"/>
          <w:sz w:val="24"/>
          <w:szCs w:val="24"/>
        </w:rPr>
      </w:pPr>
      <w:bookmarkStart w:id="82" w:name="_Toc528427704"/>
      <w:r w:rsidRPr="003C5C57">
        <w:rPr>
          <w:rFonts w:ascii="Times New Roman" w:hAnsi="Times New Roman"/>
          <w:sz w:val="24"/>
          <w:szCs w:val="24"/>
        </w:rPr>
        <w:t>Capital Budgeting (CB)</w:t>
      </w:r>
      <w:bookmarkEnd w:id="82"/>
    </w:p>
    <w:p w:rsidR="00761B43" w:rsidRPr="003C5C57" w:rsidRDefault="00B648C4"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A long-run planning to make and finance intended capital outlay. CB is considered as the attempt to establish the future</w:t>
      </w:r>
      <w:r w:rsidR="0048574A" w:rsidRPr="003C5C57">
        <w:rPr>
          <w:rFonts w:ascii="Times New Roman" w:hAnsi="Times New Roman"/>
          <w:sz w:val="24"/>
          <w:szCs w:val="24"/>
        </w:rPr>
        <w:t xml:space="preserve"> (</w:t>
      </w:r>
      <w:r w:rsidR="0048574A" w:rsidRPr="003C5C57">
        <w:rPr>
          <w:rFonts w:ascii="Times New Roman" w:hAnsi="Times New Roman"/>
          <w:color w:val="222222"/>
          <w:sz w:val="24"/>
          <w:szCs w:val="24"/>
          <w:shd w:val="clear" w:color="auto" w:fill="FFFFFF"/>
        </w:rPr>
        <w:t>Hayward et al., 2017</w:t>
      </w:r>
      <w:r w:rsidR="0048574A" w:rsidRPr="003C5C57">
        <w:rPr>
          <w:rFonts w:ascii="Times New Roman" w:hAnsi="Times New Roman"/>
          <w:sz w:val="24"/>
          <w:szCs w:val="24"/>
        </w:rPr>
        <w:t>)</w:t>
      </w:r>
      <w:r w:rsidRPr="003C5C57">
        <w:rPr>
          <w:rFonts w:ascii="Times New Roman" w:hAnsi="Times New Roman"/>
          <w:sz w:val="24"/>
          <w:szCs w:val="24"/>
        </w:rPr>
        <w:t xml:space="preserve">. </w:t>
      </w:r>
      <w:bookmarkStart w:id="83" w:name="_Toc513903697"/>
      <w:bookmarkStart w:id="84" w:name="_Toc513908471"/>
    </w:p>
    <w:p w:rsidR="00761B43" w:rsidRPr="003C5C57" w:rsidRDefault="00761B43" w:rsidP="00BA6DE8">
      <w:pPr>
        <w:pStyle w:val="Heading2"/>
        <w:spacing w:line="480" w:lineRule="auto"/>
        <w:contextualSpacing/>
        <w:rPr>
          <w:rFonts w:ascii="Times New Roman" w:hAnsi="Times New Roman"/>
          <w:sz w:val="24"/>
          <w:szCs w:val="24"/>
        </w:rPr>
      </w:pPr>
      <w:bookmarkStart w:id="85" w:name="_Toc528427705"/>
      <w:r w:rsidRPr="003C5C57">
        <w:rPr>
          <w:rFonts w:ascii="Times New Roman" w:hAnsi="Times New Roman"/>
          <w:sz w:val="24"/>
          <w:szCs w:val="24"/>
        </w:rPr>
        <w:t>Net Present Value (NPV)</w:t>
      </w:r>
      <w:bookmarkEnd w:id="83"/>
      <w:bookmarkEnd w:id="84"/>
      <w:bookmarkEnd w:id="85"/>
    </w:p>
    <w:p w:rsidR="00761B43" w:rsidRPr="003C5C57" w:rsidRDefault="00E46030" w:rsidP="00BA6DE8">
      <w:pPr>
        <w:spacing w:after="0" w:line="480" w:lineRule="auto"/>
        <w:contextualSpacing/>
        <w:jc w:val="both"/>
        <w:rPr>
          <w:rFonts w:ascii="Times New Roman" w:hAnsi="Times New Roman"/>
          <w:color w:val="000000"/>
          <w:sz w:val="24"/>
          <w:szCs w:val="24"/>
        </w:rPr>
      </w:pPr>
      <w:bookmarkStart w:id="86" w:name="_Toc513903698"/>
      <w:bookmarkStart w:id="87" w:name="_Toc513908472"/>
      <w:r w:rsidRPr="003C5C57">
        <w:rPr>
          <w:rFonts w:ascii="Times New Roman" w:hAnsi="Times New Roman"/>
          <w:b/>
          <w:color w:val="000000"/>
          <w:sz w:val="24"/>
          <w:szCs w:val="24"/>
        </w:rPr>
        <w:tab/>
      </w:r>
      <w:r w:rsidRPr="003C5C57">
        <w:rPr>
          <w:rFonts w:ascii="Times New Roman" w:hAnsi="Times New Roman"/>
          <w:color w:val="000000"/>
          <w:sz w:val="24"/>
          <w:szCs w:val="24"/>
        </w:rPr>
        <w:t>It discounts expected cash inflow at diverse periods of time at a given rate. Cash inflow’s PV are then compared to initial outlay. Positive difference denotes accepted project while negative difference is rejected. Time value of money is the main consideration and NPV stays consistent with maximizing profit objective of owners</w:t>
      </w:r>
      <w:r w:rsidR="0048574A" w:rsidRPr="003C5C57">
        <w:rPr>
          <w:rFonts w:ascii="Times New Roman" w:hAnsi="Times New Roman"/>
          <w:color w:val="000000"/>
          <w:sz w:val="24"/>
          <w:szCs w:val="24"/>
        </w:rPr>
        <w:t xml:space="preserve"> (</w:t>
      </w:r>
      <w:r w:rsidR="0048574A" w:rsidRPr="003C5C57">
        <w:rPr>
          <w:rFonts w:ascii="Times New Roman" w:hAnsi="Times New Roman"/>
          <w:color w:val="222222"/>
          <w:sz w:val="24"/>
          <w:szCs w:val="24"/>
          <w:shd w:val="clear" w:color="auto" w:fill="FFFFFF"/>
        </w:rPr>
        <w:t>Adusumilli, Davis &amp; Fromme, 2016</w:t>
      </w:r>
      <w:r w:rsidR="0048574A" w:rsidRPr="003C5C57">
        <w:rPr>
          <w:rFonts w:ascii="Times New Roman" w:hAnsi="Times New Roman"/>
          <w:color w:val="000000"/>
          <w:sz w:val="24"/>
          <w:szCs w:val="24"/>
        </w:rPr>
        <w:t>)</w:t>
      </w:r>
      <w:r w:rsidRPr="003C5C57">
        <w:rPr>
          <w:rFonts w:ascii="Times New Roman" w:hAnsi="Times New Roman"/>
          <w:color w:val="000000"/>
          <w:sz w:val="24"/>
          <w:szCs w:val="24"/>
        </w:rPr>
        <w:t xml:space="preserve">.  </w:t>
      </w:r>
    </w:p>
    <w:p w:rsidR="00761B43" w:rsidRPr="003C5C57" w:rsidRDefault="00761B43" w:rsidP="00BA6DE8">
      <w:pPr>
        <w:pStyle w:val="Heading2"/>
        <w:spacing w:line="480" w:lineRule="auto"/>
        <w:contextualSpacing/>
        <w:rPr>
          <w:rFonts w:ascii="Times New Roman" w:hAnsi="Times New Roman"/>
          <w:sz w:val="24"/>
          <w:szCs w:val="24"/>
        </w:rPr>
      </w:pPr>
      <w:bookmarkStart w:id="88" w:name="_Toc528427706"/>
      <w:r w:rsidRPr="003C5C57">
        <w:rPr>
          <w:rFonts w:ascii="Times New Roman" w:hAnsi="Times New Roman"/>
          <w:sz w:val="24"/>
          <w:szCs w:val="24"/>
        </w:rPr>
        <w:t>Internal Rate of Return (IRR)</w:t>
      </w:r>
      <w:bookmarkEnd w:id="86"/>
      <w:bookmarkEnd w:id="87"/>
      <w:bookmarkEnd w:id="88"/>
    </w:p>
    <w:p w:rsidR="00761B43" w:rsidRPr="003C5C57" w:rsidRDefault="00E46030" w:rsidP="00BA6DE8">
      <w:pPr>
        <w:spacing w:after="0" w:line="480" w:lineRule="auto"/>
        <w:ind w:firstLine="720"/>
        <w:contextualSpacing/>
        <w:jc w:val="both"/>
        <w:rPr>
          <w:rFonts w:ascii="Times New Roman" w:hAnsi="Times New Roman"/>
          <w:color w:val="000000"/>
          <w:sz w:val="24"/>
          <w:szCs w:val="24"/>
        </w:rPr>
      </w:pPr>
      <w:r w:rsidRPr="003C5C57">
        <w:rPr>
          <w:rFonts w:ascii="Times New Roman" w:hAnsi="Times New Roman"/>
          <w:color w:val="000000"/>
          <w:sz w:val="24"/>
          <w:szCs w:val="24"/>
        </w:rPr>
        <w:t>The main consideration is time value of money. Attempts are made to reach interest rate whereby initial outlay might be repaid out of project cash inflows. Where IRR&gt;WACC, project stays profitable. Where IRR&gt;k; project is accepted; otherwise reject project if IRR&lt;k</w:t>
      </w:r>
      <w:bookmarkStart w:id="89" w:name="_Toc513903699"/>
      <w:bookmarkStart w:id="90" w:name="_Toc513908473"/>
      <w:r w:rsidR="0048574A" w:rsidRPr="003C5C57">
        <w:rPr>
          <w:rFonts w:ascii="Times New Roman" w:hAnsi="Times New Roman"/>
          <w:color w:val="000000"/>
          <w:sz w:val="24"/>
          <w:szCs w:val="24"/>
        </w:rPr>
        <w:t xml:space="preserve"> (</w:t>
      </w:r>
      <w:r w:rsidR="0048574A" w:rsidRPr="003C5C57">
        <w:rPr>
          <w:rFonts w:ascii="Times New Roman" w:hAnsi="Times New Roman"/>
          <w:color w:val="222222"/>
          <w:sz w:val="24"/>
          <w:szCs w:val="24"/>
          <w:shd w:val="clear" w:color="auto" w:fill="FFFFFF"/>
        </w:rPr>
        <w:t>Patrick &amp; French, 2016</w:t>
      </w:r>
      <w:r w:rsidR="0048574A" w:rsidRPr="003C5C57">
        <w:rPr>
          <w:rFonts w:ascii="Times New Roman" w:hAnsi="Times New Roman"/>
          <w:color w:val="000000"/>
          <w:sz w:val="24"/>
          <w:szCs w:val="24"/>
        </w:rPr>
        <w:t>).</w:t>
      </w:r>
    </w:p>
    <w:p w:rsidR="00761B43" w:rsidRPr="003C5C57" w:rsidRDefault="00761B43" w:rsidP="00BA6DE8">
      <w:pPr>
        <w:pStyle w:val="Heading2"/>
        <w:spacing w:line="480" w:lineRule="auto"/>
        <w:contextualSpacing/>
        <w:rPr>
          <w:rFonts w:ascii="Times New Roman" w:hAnsi="Times New Roman"/>
          <w:sz w:val="24"/>
          <w:szCs w:val="24"/>
        </w:rPr>
      </w:pPr>
      <w:bookmarkStart w:id="91" w:name="_Toc528427707"/>
      <w:r w:rsidRPr="003C5C57">
        <w:rPr>
          <w:rFonts w:ascii="Times New Roman" w:hAnsi="Times New Roman"/>
          <w:sz w:val="24"/>
          <w:szCs w:val="24"/>
        </w:rPr>
        <w:t>Payback Period Model (PBP)</w:t>
      </w:r>
      <w:bookmarkEnd w:id="89"/>
      <w:bookmarkEnd w:id="90"/>
      <w:bookmarkEnd w:id="91"/>
    </w:p>
    <w:p w:rsidR="00761B43" w:rsidRPr="003C5C57" w:rsidRDefault="00761B43" w:rsidP="00BA6DE8">
      <w:pPr>
        <w:spacing w:after="0" w:line="480" w:lineRule="auto"/>
        <w:contextualSpacing/>
        <w:jc w:val="both"/>
        <w:rPr>
          <w:rFonts w:ascii="Times New Roman" w:hAnsi="Times New Roman"/>
          <w:color w:val="000000"/>
          <w:sz w:val="24"/>
          <w:szCs w:val="24"/>
        </w:rPr>
      </w:pPr>
      <w:bookmarkStart w:id="92" w:name="_Toc513903700"/>
      <w:bookmarkStart w:id="93" w:name="_Toc513908474"/>
      <w:r w:rsidRPr="003C5C57">
        <w:rPr>
          <w:rFonts w:ascii="Times New Roman" w:hAnsi="Times New Roman"/>
          <w:b/>
          <w:color w:val="000000"/>
          <w:sz w:val="24"/>
          <w:szCs w:val="24"/>
        </w:rPr>
        <w:tab/>
      </w:r>
      <w:r w:rsidRPr="003C5C57">
        <w:rPr>
          <w:rFonts w:ascii="Times New Roman" w:hAnsi="Times New Roman"/>
          <w:color w:val="000000"/>
          <w:sz w:val="24"/>
          <w:szCs w:val="24"/>
        </w:rPr>
        <w:t xml:space="preserve">A project with a shorter PBP is desirable. It considers the period an initial outlays takes to recover it after investment. Considers cash inflows and project economic life and investment made. Disregards time value of money. Considers earning capacity of a project </w:t>
      </w:r>
      <w:r w:rsidR="00393FF5" w:rsidRPr="003C5C57">
        <w:rPr>
          <w:rFonts w:ascii="Times New Roman" w:hAnsi="Times New Roman"/>
          <w:color w:val="000000"/>
          <w:sz w:val="24"/>
          <w:szCs w:val="24"/>
        </w:rPr>
        <w:t>to select the proposal and gauge the associated risks</w:t>
      </w:r>
      <w:r w:rsidR="0048574A" w:rsidRPr="003C5C57">
        <w:rPr>
          <w:rFonts w:ascii="Times New Roman" w:hAnsi="Times New Roman"/>
          <w:color w:val="000000"/>
          <w:sz w:val="24"/>
          <w:szCs w:val="24"/>
        </w:rPr>
        <w:t xml:space="preserve"> (</w:t>
      </w:r>
      <w:r w:rsidR="0048574A" w:rsidRPr="003C5C57">
        <w:rPr>
          <w:rFonts w:ascii="Times New Roman" w:hAnsi="Times New Roman"/>
          <w:color w:val="222222"/>
          <w:sz w:val="24"/>
          <w:szCs w:val="24"/>
          <w:shd w:val="clear" w:color="auto" w:fill="FFFFFF"/>
        </w:rPr>
        <w:t>Savino et al., 2017</w:t>
      </w:r>
      <w:r w:rsidR="0048574A" w:rsidRPr="003C5C57">
        <w:rPr>
          <w:rFonts w:ascii="Times New Roman" w:hAnsi="Times New Roman"/>
          <w:color w:val="000000"/>
          <w:sz w:val="24"/>
          <w:szCs w:val="24"/>
        </w:rPr>
        <w:t>)</w:t>
      </w:r>
      <w:r w:rsidR="00393FF5" w:rsidRPr="003C5C57">
        <w:rPr>
          <w:rFonts w:ascii="Times New Roman" w:hAnsi="Times New Roman"/>
          <w:color w:val="000000"/>
          <w:sz w:val="24"/>
          <w:szCs w:val="24"/>
        </w:rPr>
        <w:t xml:space="preserve">. </w:t>
      </w:r>
    </w:p>
    <w:p w:rsidR="00761B43" w:rsidRPr="003C5C57" w:rsidRDefault="00761B43" w:rsidP="00BA6DE8">
      <w:pPr>
        <w:pStyle w:val="Heading2"/>
        <w:spacing w:line="480" w:lineRule="auto"/>
        <w:contextualSpacing/>
        <w:rPr>
          <w:rFonts w:ascii="Times New Roman" w:hAnsi="Times New Roman"/>
          <w:sz w:val="24"/>
          <w:szCs w:val="24"/>
        </w:rPr>
      </w:pPr>
      <w:bookmarkStart w:id="94" w:name="_Toc528427708"/>
      <w:r w:rsidRPr="003C5C57">
        <w:rPr>
          <w:rFonts w:ascii="Times New Roman" w:hAnsi="Times New Roman"/>
          <w:sz w:val="24"/>
          <w:szCs w:val="24"/>
        </w:rPr>
        <w:t>Accounting Rate of Return (ARR)</w:t>
      </w:r>
      <w:bookmarkEnd w:id="92"/>
      <w:bookmarkEnd w:id="93"/>
      <w:bookmarkEnd w:id="94"/>
    </w:p>
    <w:p w:rsidR="00761B43" w:rsidRPr="003C5C57" w:rsidRDefault="00761B43" w:rsidP="00BA6DE8">
      <w:pPr>
        <w:spacing w:after="0" w:line="480" w:lineRule="auto"/>
        <w:contextualSpacing/>
        <w:jc w:val="both"/>
        <w:rPr>
          <w:rFonts w:ascii="Times New Roman" w:hAnsi="Times New Roman"/>
          <w:color w:val="000000"/>
          <w:sz w:val="24"/>
          <w:szCs w:val="24"/>
        </w:rPr>
      </w:pPr>
      <w:r w:rsidRPr="003C5C57">
        <w:rPr>
          <w:rFonts w:ascii="Times New Roman" w:hAnsi="Times New Roman"/>
          <w:color w:val="000000"/>
          <w:sz w:val="24"/>
          <w:szCs w:val="24"/>
        </w:rPr>
        <w:tab/>
        <w:t>The consideration is that a project with ARR higher than minimum established rate by management is regarded and those with ARR falling below minimum rate is rejected</w:t>
      </w:r>
      <w:r w:rsidR="0048574A" w:rsidRPr="003C5C57">
        <w:rPr>
          <w:rFonts w:ascii="Times New Roman" w:hAnsi="Times New Roman"/>
          <w:color w:val="000000"/>
          <w:sz w:val="24"/>
          <w:szCs w:val="24"/>
        </w:rPr>
        <w:t xml:space="preserve"> </w:t>
      </w:r>
      <w:r w:rsidR="0048574A" w:rsidRPr="003C5C57">
        <w:rPr>
          <w:rFonts w:ascii="Times New Roman" w:hAnsi="Times New Roman"/>
          <w:color w:val="000000"/>
          <w:sz w:val="24"/>
          <w:szCs w:val="24"/>
        </w:rPr>
        <w:lastRenderedPageBreak/>
        <w:t>(</w:t>
      </w:r>
      <w:r w:rsidR="0048574A" w:rsidRPr="003C5C57">
        <w:rPr>
          <w:rFonts w:ascii="Times New Roman" w:hAnsi="Times New Roman"/>
          <w:color w:val="222222"/>
          <w:sz w:val="24"/>
          <w:szCs w:val="24"/>
          <w:shd w:val="clear" w:color="auto" w:fill="FFFFFF"/>
        </w:rPr>
        <w:t>Christodoulou, Clubb &amp; Mcleay, 2016</w:t>
      </w:r>
      <w:r w:rsidR="0048574A" w:rsidRPr="003C5C57">
        <w:rPr>
          <w:rFonts w:ascii="Times New Roman" w:hAnsi="Times New Roman"/>
          <w:color w:val="000000"/>
          <w:sz w:val="24"/>
          <w:szCs w:val="24"/>
        </w:rPr>
        <w:t>)</w:t>
      </w:r>
      <w:r w:rsidRPr="003C5C57">
        <w:rPr>
          <w:rFonts w:ascii="Times New Roman" w:hAnsi="Times New Roman"/>
          <w:color w:val="000000"/>
          <w:sz w:val="24"/>
          <w:szCs w:val="24"/>
        </w:rPr>
        <w:t>. It accounts for whole economic project life hence an effective mechanism of comparison. Ignores time value of money and fails to account for project life length</w:t>
      </w:r>
      <w:r w:rsidR="0048574A" w:rsidRPr="003C5C57">
        <w:rPr>
          <w:rFonts w:ascii="Times New Roman" w:hAnsi="Times New Roman"/>
          <w:color w:val="000000"/>
          <w:sz w:val="24"/>
          <w:szCs w:val="24"/>
        </w:rPr>
        <w:t xml:space="preserve"> (</w:t>
      </w:r>
      <w:r w:rsidR="0048574A" w:rsidRPr="003C5C57">
        <w:rPr>
          <w:rFonts w:ascii="Times New Roman" w:hAnsi="Times New Roman"/>
          <w:color w:val="222222"/>
          <w:sz w:val="24"/>
          <w:szCs w:val="24"/>
          <w:shd w:val="clear" w:color="auto" w:fill="FFFFFF"/>
        </w:rPr>
        <w:t>Richard, 2014</w:t>
      </w:r>
      <w:r w:rsidR="0048574A" w:rsidRPr="003C5C57">
        <w:rPr>
          <w:rFonts w:ascii="Times New Roman" w:hAnsi="Times New Roman"/>
          <w:color w:val="000000"/>
          <w:sz w:val="24"/>
          <w:szCs w:val="24"/>
        </w:rPr>
        <w:t>)</w:t>
      </w:r>
      <w:r w:rsidRPr="003C5C57">
        <w:rPr>
          <w:rFonts w:ascii="Times New Roman" w:hAnsi="Times New Roman"/>
          <w:color w:val="000000"/>
          <w:sz w:val="24"/>
          <w:szCs w:val="24"/>
        </w:rPr>
        <w:t xml:space="preserve">.   </w:t>
      </w:r>
      <w:bookmarkStart w:id="95" w:name="_Toc513903701"/>
      <w:bookmarkStart w:id="96" w:name="_Toc513908475"/>
    </w:p>
    <w:p w:rsidR="00761B43" w:rsidRPr="003C5C57" w:rsidRDefault="00761B43" w:rsidP="00BA6DE8">
      <w:pPr>
        <w:pStyle w:val="Heading2"/>
        <w:spacing w:line="480" w:lineRule="auto"/>
        <w:contextualSpacing/>
        <w:rPr>
          <w:rFonts w:ascii="Times New Roman" w:hAnsi="Times New Roman"/>
          <w:sz w:val="24"/>
          <w:szCs w:val="24"/>
        </w:rPr>
      </w:pPr>
      <w:bookmarkStart w:id="97" w:name="_Toc528427709"/>
      <w:r w:rsidRPr="003C5C57">
        <w:rPr>
          <w:rFonts w:ascii="Times New Roman" w:hAnsi="Times New Roman"/>
          <w:sz w:val="24"/>
          <w:szCs w:val="24"/>
        </w:rPr>
        <w:t>Conclusion</w:t>
      </w:r>
      <w:bookmarkEnd w:id="95"/>
      <w:bookmarkEnd w:id="96"/>
      <w:bookmarkEnd w:id="97"/>
    </w:p>
    <w:p w:rsidR="00B648C4" w:rsidRPr="003C5C57" w:rsidRDefault="00B648C4"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The above analysis provides the best k</w:t>
      </w:r>
      <w:r w:rsidRPr="003C5C57">
        <w:rPr>
          <w:rFonts w:ascii="Times New Roman" w:hAnsi="Times New Roman"/>
          <w:color w:val="000000"/>
          <w:sz w:val="24"/>
          <w:szCs w:val="24"/>
        </w:rPr>
        <w:t>ey considerations on financial proposal for significant expenditure. Th</w:t>
      </w:r>
      <w:r w:rsidR="00090C7F" w:rsidRPr="003C5C57">
        <w:rPr>
          <w:rFonts w:ascii="Times New Roman" w:hAnsi="Times New Roman"/>
          <w:color w:val="000000"/>
          <w:sz w:val="24"/>
          <w:szCs w:val="24"/>
        </w:rPr>
        <w:t xml:space="preserve">ere is a need </w:t>
      </w:r>
      <w:r w:rsidRPr="003C5C57">
        <w:rPr>
          <w:rFonts w:ascii="Times New Roman" w:hAnsi="Times New Roman"/>
          <w:color w:val="000000"/>
          <w:sz w:val="24"/>
          <w:szCs w:val="24"/>
        </w:rPr>
        <w:t xml:space="preserve">to compute using the IRR and NPV which considers time value of money as opposed to PBP and ARR which ignores it yet it is a critical consideration. </w:t>
      </w:r>
    </w:p>
    <w:p w:rsidR="00761B43" w:rsidRPr="003C5C57" w:rsidRDefault="00761B43"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157E53">
      <w:pPr>
        <w:pStyle w:val="Heading2"/>
        <w:spacing w:line="480" w:lineRule="auto"/>
        <w:contextualSpacing/>
        <w:jc w:val="center"/>
        <w:rPr>
          <w:rFonts w:ascii="Times New Roman" w:hAnsi="Times New Roman"/>
          <w:sz w:val="24"/>
          <w:szCs w:val="24"/>
        </w:rPr>
      </w:pPr>
      <w:bookmarkStart w:id="98" w:name="_Toc528427710"/>
      <w:r w:rsidRPr="003C5C57">
        <w:rPr>
          <w:rFonts w:ascii="Times New Roman" w:hAnsi="Times New Roman"/>
          <w:sz w:val="24"/>
          <w:szCs w:val="24"/>
        </w:rPr>
        <w:lastRenderedPageBreak/>
        <w:t>References</w:t>
      </w:r>
      <w:bookmarkEnd w:id="98"/>
    </w:p>
    <w:p w:rsidR="005C466D" w:rsidRPr="003C5C57" w:rsidRDefault="005C466D" w:rsidP="00BA6DE8">
      <w:pPr>
        <w:spacing w:after="0" w:line="480" w:lineRule="auto"/>
        <w:ind w:left="720" w:hanging="720"/>
        <w:contextualSpacing/>
        <w:jc w:val="both"/>
        <w:rPr>
          <w:rFonts w:ascii="Times New Roman" w:hAnsi="Times New Roman"/>
          <w:b/>
          <w:sz w:val="24"/>
          <w:szCs w:val="24"/>
        </w:rPr>
      </w:pPr>
      <w:r w:rsidRPr="003C5C57">
        <w:rPr>
          <w:rFonts w:ascii="Times New Roman" w:hAnsi="Times New Roman"/>
          <w:color w:val="222222"/>
          <w:sz w:val="24"/>
          <w:szCs w:val="24"/>
          <w:shd w:val="clear" w:color="auto" w:fill="FFFFFF"/>
        </w:rPr>
        <w:t>Adusumilli, N., Davis, S., &amp; Fromme, D. (2016). Economic evaluation of using surge valves in furrow irrigation of row crops in Louisiana: A net present value approach. </w:t>
      </w:r>
      <w:r w:rsidRPr="003C5C57">
        <w:rPr>
          <w:rFonts w:ascii="Times New Roman" w:hAnsi="Times New Roman"/>
          <w:i/>
          <w:iCs/>
          <w:color w:val="222222"/>
          <w:sz w:val="24"/>
          <w:szCs w:val="24"/>
          <w:shd w:val="clear" w:color="auto" w:fill="FFFFFF"/>
        </w:rPr>
        <w:t>Agricultural Water Management</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174</w:t>
      </w:r>
      <w:r w:rsidRPr="003C5C57">
        <w:rPr>
          <w:rFonts w:ascii="Times New Roman" w:hAnsi="Times New Roman"/>
          <w:color w:val="222222"/>
          <w:sz w:val="24"/>
          <w:szCs w:val="24"/>
          <w:shd w:val="clear" w:color="auto" w:fill="FFFFFF"/>
        </w:rPr>
        <w:t>, 61-65.</w:t>
      </w:r>
    </w:p>
    <w:p w:rsidR="005C466D" w:rsidRPr="003C5C57" w:rsidRDefault="005C466D"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Christodoulou, D., Clubb, C., &amp; Mcleay, S. (2016). A structural accounting framework for estimating the expected rate of return on equity. </w:t>
      </w:r>
      <w:r w:rsidRPr="003C5C57">
        <w:rPr>
          <w:rFonts w:ascii="Times New Roman" w:hAnsi="Times New Roman"/>
          <w:i/>
          <w:iCs/>
          <w:color w:val="222222"/>
          <w:sz w:val="24"/>
          <w:szCs w:val="24"/>
          <w:shd w:val="clear" w:color="auto" w:fill="FFFFFF"/>
        </w:rPr>
        <w:t>Abacus</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52</w:t>
      </w:r>
      <w:r w:rsidRPr="003C5C57">
        <w:rPr>
          <w:rFonts w:ascii="Times New Roman" w:hAnsi="Times New Roman"/>
          <w:color w:val="222222"/>
          <w:sz w:val="24"/>
          <w:szCs w:val="24"/>
          <w:shd w:val="clear" w:color="auto" w:fill="FFFFFF"/>
        </w:rPr>
        <w:t>(1), 176-210.</w:t>
      </w:r>
    </w:p>
    <w:p w:rsidR="005C466D" w:rsidRPr="003C5C57" w:rsidRDefault="005C466D" w:rsidP="00BA6DE8">
      <w:pPr>
        <w:spacing w:after="0" w:line="480" w:lineRule="auto"/>
        <w:ind w:left="720" w:hanging="720"/>
        <w:contextualSpacing/>
        <w:jc w:val="both"/>
        <w:rPr>
          <w:rFonts w:ascii="Times New Roman" w:hAnsi="Times New Roman"/>
          <w:sz w:val="24"/>
          <w:szCs w:val="24"/>
        </w:rPr>
      </w:pPr>
      <w:r w:rsidRPr="003C5C57">
        <w:rPr>
          <w:rFonts w:ascii="Times New Roman" w:hAnsi="Times New Roman"/>
          <w:color w:val="222222"/>
          <w:sz w:val="24"/>
          <w:szCs w:val="24"/>
          <w:shd w:val="clear" w:color="auto" w:fill="FFFFFF"/>
        </w:rPr>
        <w:t>Hayward, M., Caldwell, A., Steen, J., Gow, D., &amp; Liesch, P. (2017). Entrepreneurs’ capital budgeting orientations and innovation outputs: Evidence from Australian biotechnology firms. </w:t>
      </w:r>
      <w:r w:rsidRPr="003C5C57">
        <w:rPr>
          <w:rFonts w:ascii="Times New Roman" w:hAnsi="Times New Roman"/>
          <w:i/>
          <w:iCs/>
          <w:color w:val="222222"/>
          <w:sz w:val="24"/>
          <w:szCs w:val="24"/>
          <w:shd w:val="clear" w:color="auto" w:fill="FFFFFF"/>
        </w:rPr>
        <w:t>Long Range Planning</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50</w:t>
      </w:r>
      <w:r w:rsidRPr="003C5C57">
        <w:rPr>
          <w:rFonts w:ascii="Times New Roman" w:hAnsi="Times New Roman"/>
          <w:color w:val="222222"/>
          <w:sz w:val="24"/>
          <w:szCs w:val="24"/>
          <w:shd w:val="clear" w:color="auto" w:fill="FFFFFF"/>
        </w:rPr>
        <w:t>(2), 121-133.</w:t>
      </w:r>
    </w:p>
    <w:p w:rsidR="005C466D" w:rsidRPr="003C5C57" w:rsidRDefault="005C466D"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Patrick, M., &amp; French, N. (2016). The internal rate of return (IRR): projections, benchmarks and pitfalls. </w:t>
      </w:r>
      <w:r w:rsidRPr="003C5C57">
        <w:rPr>
          <w:rFonts w:ascii="Times New Roman" w:hAnsi="Times New Roman"/>
          <w:i/>
          <w:iCs/>
          <w:color w:val="222222"/>
          <w:sz w:val="24"/>
          <w:szCs w:val="24"/>
          <w:shd w:val="clear" w:color="auto" w:fill="FFFFFF"/>
        </w:rPr>
        <w:t>Journal of Property Investment &amp; Finance</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34</w:t>
      </w:r>
      <w:r w:rsidRPr="003C5C57">
        <w:rPr>
          <w:rFonts w:ascii="Times New Roman" w:hAnsi="Times New Roman"/>
          <w:color w:val="222222"/>
          <w:sz w:val="24"/>
          <w:szCs w:val="24"/>
          <w:shd w:val="clear" w:color="auto" w:fill="FFFFFF"/>
        </w:rPr>
        <w:t>(6), 664-669.</w:t>
      </w:r>
    </w:p>
    <w:p w:rsidR="005C466D" w:rsidRPr="003C5C57" w:rsidRDefault="005C466D"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Richard, P. (2014). The Role of the Accounting Rate of Return in Financial Statement Analysis. </w:t>
      </w:r>
      <w:r w:rsidRPr="003C5C57">
        <w:rPr>
          <w:rFonts w:ascii="Times New Roman" w:hAnsi="Times New Roman"/>
          <w:i/>
          <w:iCs/>
          <w:color w:val="222222"/>
          <w:sz w:val="24"/>
          <w:szCs w:val="24"/>
          <w:shd w:val="clear" w:color="auto" w:fill="FFFFFF"/>
        </w:rPr>
        <w:t>The Continuing Debate Over Depreciation, Capital and Income (RLE Accounting)</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67</w:t>
      </w:r>
      <w:r w:rsidRPr="003C5C57">
        <w:rPr>
          <w:rFonts w:ascii="Times New Roman" w:hAnsi="Times New Roman"/>
          <w:color w:val="222222"/>
          <w:sz w:val="24"/>
          <w:szCs w:val="24"/>
          <w:shd w:val="clear" w:color="auto" w:fill="FFFFFF"/>
        </w:rPr>
        <w:t>(2), 235.</w:t>
      </w:r>
    </w:p>
    <w:p w:rsidR="005C466D" w:rsidRPr="003C5C57" w:rsidRDefault="005C466D"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Savino, M. M., Manzini, R., Della Selva, V., &amp; Accorsi, R. (2017). A new model for environmental and economic evaluation of renewable energy systems: The case of wind turbines. </w:t>
      </w:r>
      <w:r w:rsidRPr="003C5C57">
        <w:rPr>
          <w:rFonts w:ascii="Times New Roman" w:hAnsi="Times New Roman"/>
          <w:i/>
          <w:iCs/>
          <w:color w:val="222222"/>
          <w:sz w:val="24"/>
          <w:szCs w:val="24"/>
          <w:shd w:val="clear" w:color="auto" w:fill="FFFFFF"/>
        </w:rPr>
        <w:t>Applied energy</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189</w:t>
      </w:r>
      <w:r w:rsidRPr="003C5C57">
        <w:rPr>
          <w:rFonts w:ascii="Times New Roman" w:hAnsi="Times New Roman"/>
          <w:color w:val="222222"/>
          <w:sz w:val="24"/>
          <w:szCs w:val="24"/>
          <w:shd w:val="clear" w:color="auto" w:fill="FFFFFF"/>
        </w:rPr>
        <w:t>, 739-752.</w:t>
      </w:r>
    </w:p>
    <w:sectPr w:rsidR="005C466D" w:rsidRPr="003C5C57" w:rsidSect="00B648C4">
      <w:headerReference w:type="default" r:id="rId21"/>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4812" w:rsidRDefault="00E74812" w:rsidP="00B648C4">
      <w:pPr>
        <w:spacing w:after="0" w:line="240" w:lineRule="auto"/>
      </w:pPr>
      <w:r>
        <w:separator/>
      </w:r>
    </w:p>
  </w:endnote>
  <w:endnote w:type="continuationSeparator" w:id="0">
    <w:p w:rsidR="00E74812" w:rsidRDefault="00E74812" w:rsidP="00B64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4812" w:rsidRDefault="00E74812" w:rsidP="00B648C4">
      <w:pPr>
        <w:spacing w:after="0" w:line="240" w:lineRule="auto"/>
      </w:pPr>
      <w:r>
        <w:separator/>
      </w:r>
    </w:p>
  </w:footnote>
  <w:footnote w:type="continuationSeparator" w:id="0">
    <w:p w:rsidR="00E74812" w:rsidRDefault="00E74812" w:rsidP="00B64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32A" w:rsidRPr="00D63E76" w:rsidRDefault="00A3432A" w:rsidP="00D63E76">
    <w:pPr>
      <w:pStyle w:val="Header"/>
      <w:jc w:val="right"/>
      <w:rPr>
        <w:rFonts w:ascii="Times New Roman" w:hAnsi="Times New Roman"/>
        <w:sz w:val="24"/>
        <w:szCs w:val="24"/>
      </w:rPr>
    </w:pPr>
    <w:r w:rsidRPr="00D63E76">
      <w:rPr>
        <w:rFonts w:ascii="Times New Roman" w:hAnsi="Times New Roman"/>
        <w:sz w:val="24"/>
        <w:szCs w:val="24"/>
      </w:rPr>
      <w:t>FINANCIAL ANALYSIS OF UNILIVER GROUP</w:t>
    </w:r>
    <w:r>
      <w:rPr>
        <w:rFonts w:ascii="Times New Roman" w:hAnsi="Times New Roman"/>
        <w:sz w:val="24"/>
        <w:szCs w:val="24"/>
      </w:rPr>
      <w:t xml:space="preserve">                                                                    </w:t>
    </w:r>
    <w:r w:rsidRPr="00D63E76">
      <w:rPr>
        <w:rFonts w:ascii="Times New Roman" w:hAnsi="Times New Roman"/>
        <w:sz w:val="24"/>
        <w:szCs w:val="24"/>
      </w:rPr>
      <w:t xml:space="preserve"> </w:t>
    </w:r>
    <w:r w:rsidRPr="00D63E76">
      <w:rPr>
        <w:rFonts w:ascii="Times New Roman" w:hAnsi="Times New Roman"/>
        <w:sz w:val="24"/>
        <w:szCs w:val="24"/>
      </w:rPr>
      <w:fldChar w:fldCharType="begin"/>
    </w:r>
    <w:r w:rsidRPr="00D63E76">
      <w:rPr>
        <w:rFonts w:ascii="Times New Roman" w:hAnsi="Times New Roman"/>
        <w:sz w:val="24"/>
        <w:szCs w:val="24"/>
      </w:rPr>
      <w:instrText xml:space="preserve"> PAGE   \* MERGEFORMAT </w:instrText>
    </w:r>
    <w:r w:rsidRPr="00D63E76">
      <w:rPr>
        <w:rFonts w:ascii="Times New Roman" w:hAnsi="Times New Roman"/>
        <w:sz w:val="24"/>
        <w:szCs w:val="24"/>
      </w:rPr>
      <w:fldChar w:fldCharType="separate"/>
    </w:r>
    <w:r w:rsidR="00157E53">
      <w:rPr>
        <w:rFonts w:ascii="Times New Roman" w:hAnsi="Times New Roman"/>
        <w:noProof/>
        <w:sz w:val="24"/>
        <w:szCs w:val="24"/>
      </w:rPr>
      <w:t>8</w:t>
    </w:r>
    <w:r w:rsidRPr="00D63E76">
      <w:rPr>
        <w:rFonts w:ascii="Times New Roman" w:hAnsi="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32A" w:rsidRPr="00B648C4" w:rsidRDefault="00A3432A">
    <w:pPr>
      <w:pStyle w:val="Header"/>
      <w:rPr>
        <w:rFonts w:ascii="Times New Roman" w:hAnsi="Times New Roman"/>
        <w:sz w:val="24"/>
        <w:szCs w:val="24"/>
      </w:rPr>
    </w:pPr>
    <w:r w:rsidRPr="00B648C4">
      <w:rPr>
        <w:rFonts w:ascii="Times New Roman" w:hAnsi="Times New Roman"/>
        <w:sz w:val="24"/>
        <w:szCs w:val="24"/>
      </w:rPr>
      <w:t xml:space="preserve">Running head: FINANCIAL ANALYSIS OF UNILIVER GROUP </w:t>
    </w:r>
    <w:r>
      <w:rPr>
        <w:rFonts w:ascii="Times New Roman" w:hAnsi="Times New Roman"/>
        <w:sz w:val="24"/>
        <w:szCs w:val="24"/>
      </w:rPr>
      <w:t xml:space="preserve">                                             </w:t>
    </w:r>
    <w:r w:rsidRPr="00B648C4">
      <w:rPr>
        <w:rFonts w:ascii="Times New Roman" w:hAnsi="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222"/>
    <w:rsid w:val="000205CC"/>
    <w:rsid w:val="00034833"/>
    <w:rsid w:val="00071006"/>
    <w:rsid w:val="00090C7F"/>
    <w:rsid w:val="0009244B"/>
    <w:rsid w:val="000A613D"/>
    <w:rsid w:val="000E7A45"/>
    <w:rsid w:val="00112198"/>
    <w:rsid w:val="001461A0"/>
    <w:rsid w:val="00157E53"/>
    <w:rsid w:val="001702D1"/>
    <w:rsid w:val="001C0659"/>
    <w:rsid w:val="001E05F3"/>
    <w:rsid w:val="001E16A2"/>
    <w:rsid w:val="00220081"/>
    <w:rsid w:val="00255104"/>
    <w:rsid w:val="002E0779"/>
    <w:rsid w:val="002F4F90"/>
    <w:rsid w:val="00332222"/>
    <w:rsid w:val="00367BDD"/>
    <w:rsid w:val="003854A7"/>
    <w:rsid w:val="00393FF5"/>
    <w:rsid w:val="003C1C7A"/>
    <w:rsid w:val="003C5C57"/>
    <w:rsid w:val="00407213"/>
    <w:rsid w:val="004113C2"/>
    <w:rsid w:val="00415634"/>
    <w:rsid w:val="00425113"/>
    <w:rsid w:val="00471C17"/>
    <w:rsid w:val="0048574A"/>
    <w:rsid w:val="00493ADA"/>
    <w:rsid w:val="004A29AA"/>
    <w:rsid w:val="004B6AC9"/>
    <w:rsid w:val="0050000F"/>
    <w:rsid w:val="00586821"/>
    <w:rsid w:val="005917A3"/>
    <w:rsid w:val="005A44BB"/>
    <w:rsid w:val="005C4420"/>
    <w:rsid w:val="005C466D"/>
    <w:rsid w:val="00610F9E"/>
    <w:rsid w:val="00616532"/>
    <w:rsid w:val="00635CC2"/>
    <w:rsid w:val="00684A7B"/>
    <w:rsid w:val="006E155D"/>
    <w:rsid w:val="00710D51"/>
    <w:rsid w:val="007264CA"/>
    <w:rsid w:val="00761B43"/>
    <w:rsid w:val="00767743"/>
    <w:rsid w:val="0078727C"/>
    <w:rsid w:val="00792964"/>
    <w:rsid w:val="0079676B"/>
    <w:rsid w:val="007A52D5"/>
    <w:rsid w:val="007A6C06"/>
    <w:rsid w:val="007B4F34"/>
    <w:rsid w:val="0084671D"/>
    <w:rsid w:val="008558E1"/>
    <w:rsid w:val="00880244"/>
    <w:rsid w:val="008E042D"/>
    <w:rsid w:val="00937D6D"/>
    <w:rsid w:val="00995F61"/>
    <w:rsid w:val="009976CB"/>
    <w:rsid w:val="009B5ED4"/>
    <w:rsid w:val="009B6F72"/>
    <w:rsid w:val="009D55FA"/>
    <w:rsid w:val="009F0C0B"/>
    <w:rsid w:val="00A20B1B"/>
    <w:rsid w:val="00A3432A"/>
    <w:rsid w:val="00A43261"/>
    <w:rsid w:val="00A96EA6"/>
    <w:rsid w:val="00AD50B6"/>
    <w:rsid w:val="00B252E3"/>
    <w:rsid w:val="00B648C4"/>
    <w:rsid w:val="00BA2703"/>
    <w:rsid w:val="00BA6DE8"/>
    <w:rsid w:val="00BC4CFE"/>
    <w:rsid w:val="00BE42EC"/>
    <w:rsid w:val="00BF3B08"/>
    <w:rsid w:val="00C14E6D"/>
    <w:rsid w:val="00C20EEF"/>
    <w:rsid w:val="00C5009E"/>
    <w:rsid w:val="00C956B6"/>
    <w:rsid w:val="00CD457C"/>
    <w:rsid w:val="00D14F4B"/>
    <w:rsid w:val="00D542BF"/>
    <w:rsid w:val="00D63E76"/>
    <w:rsid w:val="00D702CA"/>
    <w:rsid w:val="00D97414"/>
    <w:rsid w:val="00DC18EB"/>
    <w:rsid w:val="00DF2BFC"/>
    <w:rsid w:val="00DF5BB1"/>
    <w:rsid w:val="00E1696D"/>
    <w:rsid w:val="00E3695D"/>
    <w:rsid w:val="00E41AD0"/>
    <w:rsid w:val="00E43065"/>
    <w:rsid w:val="00E46030"/>
    <w:rsid w:val="00E74812"/>
    <w:rsid w:val="00E90042"/>
    <w:rsid w:val="00EC7FBD"/>
    <w:rsid w:val="00ED4877"/>
    <w:rsid w:val="00F047D1"/>
    <w:rsid w:val="00FE19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38CE68CB-1D51-E94C-A366-22F5F8B9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rsid w:val="0084671D"/>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0205CC"/>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unhideWhenUsed/>
    <w:qFormat/>
    <w:rsid w:val="00BA2703"/>
    <w:pPr>
      <w:keepNext/>
      <w:keepLines/>
      <w:spacing w:before="40" w:after="0" w:afterAutospacing="1"/>
      <w:jc w:val="both"/>
      <w:outlineLvl w:val="2"/>
    </w:pPr>
    <w:rPr>
      <w:rFonts w:ascii="Cambria" w:eastAsia="Times New Roman" w:hAnsi="Cambria"/>
      <w:color w:val="243F60"/>
      <w:sz w:val="24"/>
      <w:szCs w:val="24"/>
    </w:rPr>
  </w:style>
  <w:style w:type="paragraph" w:styleId="Heading4">
    <w:name w:val="heading 4"/>
    <w:basedOn w:val="Normal"/>
    <w:next w:val="Normal"/>
    <w:link w:val="Heading4Char"/>
    <w:uiPriority w:val="9"/>
    <w:unhideWhenUsed/>
    <w:qFormat/>
    <w:rsid w:val="0084671D"/>
    <w:pPr>
      <w:keepNext/>
      <w:spacing w:before="240" w:after="60"/>
      <w:outlineLvl w:val="3"/>
    </w:pPr>
    <w:rPr>
      <w:rFonts w:eastAsia="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BA2703"/>
    <w:rPr>
      <w:rFonts w:ascii="Cambria" w:eastAsia="Times New Roman" w:hAnsi="Cambria"/>
      <w:color w:val="243F60"/>
      <w:sz w:val="24"/>
      <w:szCs w:val="24"/>
    </w:rPr>
  </w:style>
  <w:style w:type="character" w:customStyle="1" w:styleId="Heading2Char">
    <w:name w:val="Heading 2 Char"/>
    <w:link w:val="Heading2"/>
    <w:uiPriority w:val="9"/>
    <w:rsid w:val="000205CC"/>
    <w:rPr>
      <w:rFonts w:ascii="Calibri Light" w:eastAsia="Times New Roman" w:hAnsi="Calibri Light" w:cs="Times New Roman"/>
      <w:b/>
      <w:bCs/>
      <w:i/>
      <w:iCs/>
      <w:sz w:val="28"/>
      <w:szCs w:val="28"/>
    </w:rPr>
  </w:style>
  <w:style w:type="paragraph" w:styleId="Header">
    <w:name w:val="header"/>
    <w:basedOn w:val="Normal"/>
    <w:link w:val="HeaderChar"/>
    <w:uiPriority w:val="99"/>
    <w:unhideWhenUsed/>
    <w:rsid w:val="00B648C4"/>
    <w:pPr>
      <w:tabs>
        <w:tab w:val="center" w:pos="4680"/>
        <w:tab w:val="right" w:pos="9360"/>
      </w:tabs>
    </w:pPr>
  </w:style>
  <w:style w:type="character" w:customStyle="1" w:styleId="HeaderChar">
    <w:name w:val="Header Char"/>
    <w:link w:val="Header"/>
    <w:uiPriority w:val="99"/>
    <w:rsid w:val="00B648C4"/>
    <w:rPr>
      <w:sz w:val="22"/>
      <w:szCs w:val="22"/>
    </w:rPr>
  </w:style>
  <w:style w:type="paragraph" w:styleId="Footer">
    <w:name w:val="footer"/>
    <w:basedOn w:val="Normal"/>
    <w:link w:val="FooterChar"/>
    <w:uiPriority w:val="99"/>
    <w:unhideWhenUsed/>
    <w:rsid w:val="00B648C4"/>
    <w:pPr>
      <w:tabs>
        <w:tab w:val="center" w:pos="4680"/>
        <w:tab w:val="right" w:pos="9360"/>
      </w:tabs>
    </w:pPr>
  </w:style>
  <w:style w:type="character" w:customStyle="1" w:styleId="FooterChar">
    <w:name w:val="Footer Char"/>
    <w:link w:val="Footer"/>
    <w:uiPriority w:val="99"/>
    <w:rsid w:val="00B648C4"/>
    <w:rPr>
      <w:sz w:val="22"/>
      <w:szCs w:val="22"/>
    </w:rPr>
  </w:style>
  <w:style w:type="character" w:customStyle="1" w:styleId="Heading1Char">
    <w:name w:val="Heading 1 Char"/>
    <w:link w:val="Heading1"/>
    <w:uiPriority w:val="9"/>
    <w:rsid w:val="0084671D"/>
    <w:rPr>
      <w:rFonts w:ascii="Calibri Light" w:eastAsia="Times New Roman" w:hAnsi="Calibri Light" w:cs="Times New Roman"/>
      <w:b/>
      <w:bCs/>
      <w:kern w:val="32"/>
      <w:sz w:val="32"/>
      <w:szCs w:val="32"/>
    </w:rPr>
  </w:style>
  <w:style w:type="character" w:customStyle="1" w:styleId="Heading4Char">
    <w:name w:val="Heading 4 Char"/>
    <w:link w:val="Heading4"/>
    <w:uiPriority w:val="9"/>
    <w:rsid w:val="0084671D"/>
    <w:rPr>
      <w:rFonts w:ascii="Calibri" w:eastAsia="Times New Roman" w:hAnsi="Calibri" w:cs="Times New Roman"/>
      <w:b/>
      <w:bCs/>
      <w:sz w:val="28"/>
      <w:szCs w:val="28"/>
    </w:rPr>
  </w:style>
  <w:style w:type="paragraph" w:styleId="TOCHeading">
    <w:name w:val="TOC Heading"/>
    <w:basedOn w:val="Heading1"/>
    <w:next w:val="Normal"/>
    <w:uiPriority w:val="39"/>
    <w:unhideWhenUsed/>
    <w:qFormat/>
    <w:rsid w:val="00BA6DE8"/>
    <w:pPr>
      <w:keepLines/>
      <w:spacing w:after="0"/>
      <w:outlineLvl w:val="9"/>
    </w:pPr>
    <w:rPr>
      <w:b w:val="0"/>
      <w:bCs w:val="0"/>
      <w:color w:val="2E74B5"/>
      <w:kern w:val="0"/>
    </w:rPr>
  </w:style>
  <w:style w:type="paragraph" w:styleId="TOC1">
    <w:name w:val="toc 1"/>
    <w:basedOn w:val="Normal"/>
    <w:next w:val="Normal"/>
    <w:autoRedefine/>
    <w:uiPriority w:val="39"/>
    <w:unhideWhenUsed/>
    <w:rsid w:val="00BA6DE8"/>
  </w:style>
  <w:style w:type="paragraph" w:styleId="TOC2">
    <w:name w:val="toc 2"/>
    <w:basedOn w:val="Normal"/>
    <w:next w:val="Normal"/>
    <w:autoRedefine/>
    <w:uiPriority w:val="39"/>
    <w:unhideWhenUsed/>
    <w:rsid w:val="00BA6DE8"/>
    <w:pPr>
      <w:ind w:left="220"/>
    </w:pPr>
  </w:style>
  <w:style w:type="paragraph" w:styleId="TOC3">
    <w:name w:val="toc 3"/>
    <w:basedOn w:val="Normal"/>
    <w:next w:val="Normal"/>
    <w:autoRedefine/>
    <w:uiPriority w:val="39"/>
    <w:unhideWhenUsed/>
    <w:rsid w:val="00BA6DE8"/>
    <w:pPr>
      <w:ind w:left="440"/>
    </w:pPr>
  </w:style>
  <w:style w:type="character" w:styleId="Hyperlink">
    <w:name w:val="Hyperlink"/>
    <w:uiPriority w:val="99"/>
    <w:unhideWhenUsed/>
    <w:rsid w:val="00BA6DE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240234">
      <w:bodyDiv w:val="1"/>
      <w:marLeft w:val="0"/>
      <w:marRight w:val="0"/>
      <w:marTop w:val="0"/>
      <w:marBottom w:val="0"/>
      <w:divBdr>
        <w:top w:val="none" w:sz="0" w:space="0" w:color="auto"/>
        <w:left w:val="none" w:sz="0" w:space="0" w:color="auto"/>
        <w:bottom w:val="none" w:sz="0" w:space="0" w:color="auto"/>
        <w:right w:val="none" w:sz="0" w:space="0" w:color="auto"/>
      </w:divBdr>
      <w:divsChild>
        <w:div w:id="1065566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chart" Target="charts/chart2.xml" /><Relationship Id="rId18" Type="http://schemas.openxmlformats.org/officeDocument/2006/relationships/image" Target="media/image7.png" /><Relationship Id="rId3" Type="http://schemas.openxmlformats.org/officeDocument/2006/relationships/settings" Target="settings.xml" /><Relationship Id="rId21" Type="http://schemas.openxmlformats.org/officeDocument/2006/relationships/header" Target="header1.xml" /><Relationship Id="rId7" Type="http://schemas.openxmlformats.org/officeDocument/2006/relationships/image" Target="media/image1.png" /><Relationship Id="rId12" Type="http://schemas.openxmlformats.org/officeDocument/2006/relationships/chart" Target="charts/chart1.xml" /><Relationship Id="rId17" Type="http://schemas.openxmlformats.org/officeDocument/2006/relationships/image" Target="media/image6.png" /><Relationship Id="rId2" Type="http://schemas.openxmlformats.org/officeDocument/2006/relationships/styles" Target="styles.xml" /><Relationship Id="rId16" Type="http://schemas.openxmlformats.org/officeDocument/2006/relationships/chart" Target="charts/chart5.xml" /><Relationship Id="rId20" Type="http://schemas.openxmlformats.org/officeDocument/2006/relationships/image" Target="media/image9.png"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chart" Target="charts/chart4.xml" /><Relationship Id="rId23" Type="http://schemas.openxmlformats.org/officeDocument/2006/relationships/fontTable" Target="fontTable.xml" /><Relationship Id="rId10" Type="http://schemas.openxmlformats.org/officeDocument/2006/relationships/image" Target="media/image4.png" /><Relationship Id="rId19" Type="http://schemas.openxmlformats.org/officeDocument/2006/relationships/image" Target="media/image8.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chart" Target="charts/chart3.xml" /><Relationship Id="rId22" Type="http://schemas.openxmlformats.org/officeDocument/2006/relationships/header" Target="header2.xml" /></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1.xml" /><Relationship Id="rId1" Type="http://schemas.microsoft.com/office/2011/relationships/chartStyle" Target="style1.xml" /><Relationship Id="rId4" Type="http://schemas.openxmlformats.org/officeDocument/2006/relationships/oleObject" Target="file:///C:\Users\noahh\Downloads\10608.xlsx" TargetMode="External" /></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 /><Relationship Id="rId2" Type="http://schemas.microsoft.com/office/2011/relationships/chartColorStyle" Target="colors2.xml" /><Relationship Id="rId1" Type="http://schemas.microsoft.com/office/2011/relationships/chartStyle" Target="style2.xml" /><Relationship Id="rId4" Type="http://schemas.openxmlformats.org/officeDocument/2006/relationships/oleObject" Target="file:///C:\Users\noahh\Downloads\10608.xlsx" TargetMode="External" /></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 /><Relationship Id="rId2" Type="http://schemas.microsoft.com/office/2011/relationships/chartColorStyle" Target="colors3.xml" /><Relationship Id="rId1" Type="http://schemas.microsoft.com/office/2011/relationships/chartStyle" Target="style3.xml" /><Relationship Id="rId4" Type="http://schemas.openxmlformats.org/officeDocument/2006/relationships/oleObject" Target="file:///C:\Users\noahh\Downloads\10608.xlsx" TargetMode="External" /></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 /><Relationship Id="rId2" Type="http://schemas.microsoft.com/office/2011/relationships/chartColorStyle" Target="colors4.xml" /><Relationship Id="rId1" Type="http://schemas.microsoft.com/office/2011/relationships/chartStyle" Target="style4.xml" /><Relationship Id="rId4" Type="http://schemas.openxmlformats.org/officeDocument/2006/relationships/oleObject" Target="file:///C:\Users\noahh\Downloads\10608.xlsx" TargetMode="External" /></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 /><Relationship Id="rId2" Type="http://schemas.microsoft.com/office/2011/relationships/chartColorStyle" Target="colors5.xml" /><Relationship Id="rId1" Type="http://schemas.microsoft.com/office/2011/relationships/chartStyle" Target="style5.xml" /><Relationship Id="rId4" Type="http://schemas.openxmlformats.org/officeDocument/2006/relationships/oleObject" Target="file:///C:\Users\noahh\Downloads\10608.xlsx"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GPMR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'[10608.xlsx]Sheet1'!$D$5</c:f>
              <c:strCache>
                <c:ptCount val="1"/>
                <c:pt idx="0">
                  <c:v>2015</c:v>
                </c:pt>
              </c:strCache>
            </c:strRef>
          </c:tx>
          <c:spPr>
            <a:solidFill>
              <a:schemeClr val="accent1"/>
            </a:solidFill>
            <a:ln>
              <a:noFill/>
            </a:ln>
            <a:effectLst/>
          </c:spPr>
          <c:invertIfNegative val="0"/>
          <c:cat>
            <c:strRef>
              <c:f>'[10608.xlsx]Sheet1'!$E$3:$I$4</c:f>
              <c:strCache>
                <c:ptCount val="5"/>
                <c:pt idx="0">
                  <c:v>Unilver PLC</c:v>
                </c:pt>
                <c:pt idx="1">
                  <c:v>Procter &amp; Gamble</c:v>
                </c:pt>
                <c:pt idx="2">
                  <c:v>Kimberly-Clark</c:v>
                </c:pt>
                <c:pt idx="3">
                  <c:v>Kellogg's</c:v>
                </c:pt>
                <c:pt idx="4">
                  <c:v>General Mills</c:v>
                </c:pt>
              </c:strCache>
            </c:strRef>
          </c:cat>
          <c:val>
            <c:numRef>
              <c:f>'[10608.xlsx]Sheet1'!$E$5:$I$5</c:f>
              <c:numCache>
                <c:formatCode>General</c:formatCode>
                <c:ptCount val="5"/>
                <c:pt idx="0">
                  <c:v>14.7</c:v>
                </c:pt>
                <c:pt idx="1">
                  <c:v>12.6</c:v>
                </c:pt>
                <c:pt idx="2">
                  <c:v>13.4</c:v>
                </c:pt>
                <c:pt idx="3">
                  <c:v>13.8</c:v>
                </c:pt>
                <c:pt idx="4">
                  <c:v>7.4</c:v>
                </c:pt>
              </c:numCache>
            </c:numRef>
          </c:val>
          <c:extLst>
            <c:ext xmlns:c16="http://schemas.microsoft.com/office/drawing/2014/chart" uri="{C3380CC4-5D6E-409C-BE32-E72D297353CC}">
              <c16:uniqueId val="{00000000-B238-864B-AF32-E5FE6469BA4B}"/>
            </c:ext>
          </c:extLst>
        </c:ser>
        <c:ser>
          <c:idx val="1"/>
          <c:order val="1"/>
          <c:tx>
            <c:strRef>
              <c:f>'[10608.xlsx]Sheet1'!$D$6</c:f>
              <c:strCache>
                <c:ptCount val="1"/>
                <c:pt idx="0">
                  <c:v>2016</c:v>
                </c:pt>
              </c:strCache>
            </c:strRef>
          </c:tx>
          <c:spPr>
            <a:solidFill>
              <a:schemeClr val="accent2"/>
            </a:solidFill>
            <a:ln>
              <a:noFill/>
            </a:ln>
            <a:effectLst/>
          </c:spPr>
          <c:invertIfNegative val="0"/>
          <c:cat>
            <c:strRef>
              <c:f>'[10608.xlsx]Sheet1'!$E$3:$I$4</c:f>
              <c:strCache>
                <c:ptCount val="5"/>
                <c:pt idx="0">
                  <c:v>Unilver PLC</c:v>
                </c:pt>
                <c:pt idx="1">
                  <c:v>Procter &amp; Gamble</c:v>
                </c:pt>
                <c:pt idx="2">
                  <c:v>Kimberly-Clark</c:v>
                </c:pt>
                <c:pt idx="3">
                  <c:v>Kellogg's</c:v>
                </c:pt>
                <c:pt idx="4">
                  <c:v>General Mills</c:v>
                </c:pt>
              </c:strCache>
            </c:strRef>
          </c:cat>
          <c:val>
            <c:numRef>
              <c:f>'[10608.xlsx]Sheet1'!$E$6:$I$6</c:f>
              <c:numCache>
                <c:formatCode>General</c:formatCode>
                <c:ptCount val="5"/>
                <c:pt idx="0">
                  <c:v>15.2</c:v>
                </c:pt>
                <c:pt idx="1">
                  <c:v>13.6</c:v>
                </c:pt>
                <c:pt idx="2">
                  <c:v>14</c:v>
                </c:pt>
                <c:pt idx="3">
                  <c:v>15</c:v>
                </c:pt>
                <c:pt idx="4">
                  <c:v>8.6999999999999993</c:v>
                </c:pt>
              </c:numCache>
            </c:numRef>
          </c:val>
          <c:extLst>
            <c:ext xmlns:c16="http://schemas.microsoft.com/office/drawing/2014/chart" uri="{C3380CC4-5D6E-409C-BE32-E72D297353CC}">
              <c16:uniqueId val="{00000001-B238-864B-AF32-E5FE6469BA4B}"/>
            </c:ext>
          </c:extLst>
        </c:ser>
        <c:dLbls>
          <c:showLegendKey val="0"/>
          <c:showVal val="0"/>
          <c:showCatName val="0"/>
          <c:showSerName val="0"/>
          <c:showPercent val="0"/>
          <c:showBubbleSize val="0"/>
        </c:dLbls>
        <c:gapWidth val="219"/>
        <c:overlap val="-27"/>
        <c:axId val="368824264"/>
        <c:axId val="368826224"/>
      </c:barChart>
      <c:catAx>
        <c:axId val="368824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826224"/>
        <c:crosses val="autoZero"/>
        <c:auto val="1"/>
        <c:lblAlgn val="ctr"/>
        <c:lblOffset val="100"/>
        <c:noMultiLvlLbl val="0"/>
      </c:catAx>
      <c:valAx>
        <c:axId val="368826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824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OPMR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'[10608.xlsx]Sheet1'!$D$5</c:f>
              <c:strCache>
                <c:ptCount val="1"/>
                <c:pt idx="0">
                  <c:v>2015</c:v>
                </c:pt>
              </c:strCache>
            </c:strRef>
          </c:tx>
          <c:spPr>
            <a:solidFill>
              <a:schemeClr val="accent1"/>
            </a:solidFill>
            <a:ln>
              <a:noFill/>
            </a:ln>
            <a:effectLst/>
          </c:spPr>
          <c:invertIfNegative val="0"/>
          <c:cat>
            <c:strRef>
              <c:f>'[10608.xlsx]Sheet1'!$E$3:$I$4</c:f>
              <c:strCache>
                <c:ptCount val="5"/>
                <c:pt idx="0">
                  <c:v>Unilver PLC</c:v>
                </c:pt>
                <c:pt idx="1">
                  <c:v>Procter &amp; Gamble</c:v>
                </c:pt>
                <c:pt idx="2">
                  <c:v>Kimberly-Clark</c:v>
                </c:pt>
                <c:pt idx="3">
                  <c:v>Kellogg's</c:v>
                </c:pt>
                <c:pt idx="4">
                  <c:v>General Mills</c:v>
                </c:pt>
              </c:strCache>
            </c:strRef>
          </c:cat>
          <c:val>
            <c:numRef>
              <c:f>'[10608.xlsx]Sheet1'!$E$5:$I$5</c:f>
              <c:numCache>
                <c:formatCode>General</c:formatCode>
                <c:ptCount val="5"/>
                <c:pt idx="0">
                  <c:v>9.9</c:v>
                </c:pt>
                <c:pt idx="1">
                  <c:v>9.8000000000000007</c:v>
                </c:pt>
                <c:pt idx="2">
                  <c:v>10</c:v>
                </c:pt>
                <c:pt idx="3">
                  <c:v>9.1</c:v>
                </c:pt>
                <c:pt idx="4">
                  <c:v>8.8000000000000007</c:v>
                </c:pt>
              </c:numCache>
            </c:numRef>
          </c:val>
          <c:extLst>
            <c:ext xmlns:c16="http://schemas.microsoft.com/office/drawing/2014/chart" uri="{C3380CC4-5D6E-409C-BE32-E72D297353CC}">
              <c16:uniqueId val="{00000000-56E5-C74D-A8EC-23C71CCC6824}"/>
            </c:ext>
          </c:extLst>
        </c:ser>
        <c:ser>
          <c:idx val="1"/>
          <c:order val="1"/>
          <c:tx>
            <c:strRef>
              <c:f>'[10608.xlsx]Sheet1'!$D$6</c:f>
              <c:strCache>
                <c:ptCount val="1"/>
                <c:pt idx="0">
                  <c:v>2016</c:v>
                </c:pt>
              </c:strCache>
            </c:strRef>
          </c:tx>
          <c:spPr>
            <a:solidFill>
              <a:schemeClr val="accent2"/>
            </a:solidFill>
            <a:ln>
              <a:noFill/>
            </a:ln>
            <a:effectLst/>
          </c:spPr>
          <c:invertIfNegative val="0"/>
          <c:cat>
            <c:strRef>
              <c:f>'[10608.xlsx]Sheet1'!$E$3:$I$4</c:f>
              <c:strCache>
                <c:ptCount val="5"/>
                <c:pt idx="0">
                  <c:v>Unilver PLC</c:v>
                </c:pt>
                <c:pt idx="1">
                  <c:v>Procter &amp; Gamble</c:v>
                </c:pt>
                <c:pt idx="2">
                  <c:v>Kimberly-Clark</c:v>
                </c:pt>
                <c:pt idx="3">
                  <c:v>Kellogg's</c:v>
                </c:pt>
                <c:pt idx="4">
                  <c:v>General Mills</c:v>
                </c:pt>
              </c:strCache>
            </c:strRef>
          </c:cat>
          <c:val>
            <c:numRef>
              <c:f>'[10608.xlsx]Sheet1'!$E$6:$I$6</c:f>
              <c:numCache>
                <c:formatCode>General</c:formatCode>
                <c:ptCount val="5"/>
                <c:pt idx="0">
                  <c:v>10.5</c:v>
                </c:pt>
                <c:pt idx="1">
                  <c:v>10.6</c:v>
                </c:pt>
                <c:pt idx="2">
                  <c:v>11.2</c:v>
                </c:pt>
                <c:pt idx="3">
                  <c:v>10.4</c:v>
                </c:pt>
                <c:pt idx="4">
                  <c:v>9.3000000000000007</c:v>
                </c:pt>
              </c:numCache>
            </c:numRef>
          </c:val>
          <c:extLst>
            <c:ext xmlns:c16="http://schemas.microsoft.com/office/drawing/2014/chart" uri="{C3380CC4-5D6E-409C-BE32-E72D297353CC}">
              <c16:uniqueId val="{00000001-56E5-C74D-A8EC-23C71CCC6824}"/>
            </c:ext>
          </c:extLst>
        </c:ser>
        <c:dLbls>
          <c:showLegendKey val="0"/>
          <c:showVal val="0"/>
          <c:showCatName val="0"/>
          <c:showSerName val="0"/>
          <c:showPercent val="0"/>
          <c:showBubbleSize val="0"/>
        </c:dLbls>
        <c:gapWidth val="219"/>
        <c:overlap val="-27"/>
        <c:axId val="481043736"/>
        <c:axId val="481033152"/>
      </c:barChart>
      <c:catAx>
        <c:axId val="481043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033152"/>
        <c:crosses val="autoZero"/>
        <c:auto val="1"/>
        <c:lblAlgn val="ctr"/>
        <c:lblOffset val="100"/>
        <c:noMultiLvlLbl val="0"/>
      </c:catAx>
      <c:valAx>
        <c:axId val="481033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043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'[10608.xlsx]Sheet1'!$D$5</c:f>
              <c:strCache>
                <c:ptCount val="1"/>
                <c:pt idx="0">
                  <c:v>2015</c:v>
                </c:pt>
              </c:strCache>
            </c:strRef>
          </c:tx>
          <c:spPr>
            <a:solidFill>
              <a:schemeClr val="accent1"/>
            </a:solidFill>
            <a:ln>
              <a:noFill/>
            </a:ln>
            <a:effectLst/>
          </c:spPr>
          <c:invertIfNegative val="0"/>
          <c:cat>
            <c:strRef>
              <c:f>'[10608.xlsx]Sheet1'!$E$3:$I$4</c:f>
              <c:strCache>
                <c:ptCount val="5"/>
                <c:pt idx="0">
                  <c:v>Unilver PLC</c:v>
                </c:pt>
                <c:pt idx="1">
                  <c:v>Procter &amp; Gamble</c:v>
                </c:pt>
                <c:pt idx="2">
                  <c:v>Kimberly-Clark</c:v>
                </c:pt>
                <c:pt idx="3">
                  <c:v>Kellogg's</c:v>
                </c:pt>
                <c:pt idx="4">
                  <c:v>General Mills</c:v>
                </c:pt>
              </c:strCache>
            </c:strRef>
          </c:cat>
          <c:val>
            <c:numRef>
              <c:f>'[10608.xlsx]Sheet1'!$E$5:$I$5</c:f>
              <c:numCache>
                <c:formatCode>General</c:formatCode>
                <c:ptCount val="5"/>
                <c:pt idx="0">
                  <c:v>9.3000000000000007</c:v>
                </c:pt>
                <c:pt idx="1">
                  <c:v>7.3</c:v>
                </c:pt>
                <c:pt idx="2">
                  <c:v>8.4</c:v>
                </c:pt>
                <c:pt idx="3">
                  <c:v>8.8000000000000007</c:v>
                </c:pt>
                <c:pt idx="4">
                  <c:v>7.4</c:v>
                </c:pt>
              </c:numCache>
            </c:numRef>
          </c:val>
          <c:extLst>
            <c:ext xmlns:c16="http://schemas.microsoft.com/office/drawing/2014/chart" uri="{C3380CC4-5D6E-409C-BE32-E72D297353CC}">
              <c16:uniqueId val="{00000000-F91B-1244-ADBC-513E28C3E668}"/>
            </c:ext>
          </c:extLst>
        </c:ser>
        <c:ser>
          <c:idx val="1"/>
          <c:order val="1"/>
          <c:tx>
            <c:strRef>
              <c:f>'[10608.xlsx]Sheet1'!$D$6</c:f>
              <c:strCache>
                <c:ptCount val="1"/>
                <c:pt idx="0">
                  <c:v>2016</c:v>
                </c:pt>
              </c:strCache>
            </c:strRef>
          </c:tx>
          <c:spPr>
            <a:solidFill>
              <a:schemeClr val="accent2"/>
            </a:solidFill>
            <a:ln>
              <a:noFill/>
            </a:ln>
            <a:effectLst/>
          </c:spPr>
          <c:invertIfNegative val="0"/>
          <c:cat>
            <c:strRef>
              <c:f>'[10608.xlsx]Sheet1'!$E$3:$I$4</c:f>
              <c:strCache>
                <c:ptCount val="5"/>
                <c:pt idx="0">
                  <c:v>Unilver PLC</c:v>
                </c:pt>
                <c:pt idx="1">
                  <c:v>Procter &amp; Gamble</c:v>
                </c:pt>
                <c:pt idx="2">
                  <c:v>Kimberly-Clark</c:v>
                </c:pt>
                <c:pt idx="3">
                  <c:v>Kellogg's</c:v>
                </c:pt>
                <c:pt idx="4">
                  <c:v>General Mills</c:v>
                </c:pt>
              </c:strCache>
            </c:strRef>
          </c:cat>
          <c:val>
            <c:numRef>
              <c:f>'[10608.xlsx]Sheet1'!$E$6:$I$6</c:f>
              <c:numCache>
                <c:formatCode>General</c:formatCode>
                <c:ptCount val="5"/>
                <c:pt idx="0">
                  <c:v>10.6</c:v>
                </c:pt>
                <c:pt idx="1">
                  <c:v>9.5</c:v>
                </c:pt>
                <c:pt idx="2">
                  <c:v>9.5</c:v>
                </c:pt>
                <c:pt idx="3">
                  <c:v>10.5</c:v>
                </c:pt>
                <c:pt idx="4">
                  <c:v>8.6999999999999993</c:v>
                </c:pt>
              </c:numCache>
            </c:numRef>
          </c:val>
          <c:extLst>
            <c:ext xmlns:c16="http://schemas.microsoft.com/office/drawing/2014/chart" uri="{C3380CC4-5D6E-409C-BE32-E72D297353CC}">
              <c16:uniqueId val="{00000001-F91B-1244-ADBC-513E28C3E668}"/>
            </c:ext>
          </c:extLst>
        </c:ser>
        <c:dLbls>
          <c:showLegendKey val="0"/>
          <c:showVal val="0"/>
          <c:showCatName val="0"/>
          <c:showSerName val="0"/>
          <c:showPercent val="0"/>
          <c:showBubbleSize val="0"/>
        </c:dLbls>
        <c:gapWidth val="219"/>
        <c:overlap val="-27"/>
        <c:axId val="4111720"/>
        <c:axId val="4112112"/>
      </c:barChart>
      <c:catAx>
        <c:axId val="4111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2112"/>
        <c:crosses val="autoZero"/>
        <c:auto val="1"/>
        <c:lblAlgn val="ctr"/>
        <c:lblOffset val="100"/>
        <c:noMultiLvlLbl val="0"/>
      </c:catAx>
      <c:valAx>
        <c:axId val="4112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1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INTEREST</a:t>
            </a:r>
            <a:r>
              <a:rPr lang="en-US" baseline="0"/>
              <a:t> COVER RATIO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'[10608.xlsx]Sheet1'!$D$5</c:f>
              <c:strCache>
                <c:ptCount val="1"/>
                <c:pt idx="0">
                  <c:v>2015</c:v>
                </c:pt>
              </c:strCache>
            </c:strRef>
          </c:tx>
          <c:spPr>
            <a:solidFill>
              <a:schemeClr val="accent1"/>
            </a:solidFill>
            <a:ln>
              <a:noFill/>
            </a:ln>
            <a:effectLst/>
          </c:spPr>
          <c:invertIfNegative val="0"/>
          <c:cat>
            <c:strRef>
              <c:f>'[10608.xlsx]Sheet1'!$E$3:$I$4</c:f>
              <c:strCache>
                <c:ptCount val="5"/>
                <c:pt idx="0">
                  <c:v>Unilver PLC</c:v>
                </c:pt>
                <c:pt idx="1">
                  <c:v>Procter &amp; Gamble</c:v>
                </c:pt>
                <c:pt idx="2">
                  <c:v>Kimberly-Clark</c:v>
                </c:pt>
                <c:pt idx="3">
                  <c:v>Kellogg's</c:v>
                </c:pt>
                <c:pt idx="4">
                  <c:v>General Mills</c:v>
                </c:pt>
              </c:strCache>
            </c:strRef>
          </c:cat>
          <c:val>
            <c:numRef>
              <c:f>'[10608.xlsx]Sheet1'!$E$5:$I$5</c:f>
              <c:numCache>
                <c:formatCode>General</c:formatCode>
                <c:ptCount val="5"/>
                <c:pt idx="0">
                  <c:v>10.199999999999999</c:v>
                </c:pt>
                <c:pt idx="1">
                  <c:v>9.1999999999999993</c:v>
                </c:pt>
                <c:pt idx="2">
                  <c:v>9.4</c:v>
                </c:pt>
                <c:pt idx="3">
                  <c:v>10.6</c:v>
                </c:pt>
                <c:pt idx="4">
                  <c:v>10.4</c:v>
                </c:pt>
              </c:numCache>
            </c:numRef>
          </c:val>
          <c:extLst>
            <c:ext xmlns:c16="http://schemas.microsoft.com/office/drawing/2014/chart" uri="{C3380CC4-5D6E-409C-BE32-E72D297353CC}">
              <c16:uniqueId val="{00000000-19EB-B549-AC72-FD6D3E886817}"/>
            </c:ext>
          </c:extLst>
        </c:ser>
        <c:ser>
          <c:idx val="1"/>
          <c:order val="1"/>
          <c:tx>
            <c:strRef>
              <c:f>'[10608.xlsx]Sheet1'!$D$6</c:f>
              <c:strCache>
                <c:ptCount val="1"/>
                <c:pt idx="0">
                  <c:v>2016</c:v>
                </c:pt>
              </c:strCache>
            </c:strRef>
          </c:tx>
          <c:spPr>
            <a:solidFill>
              <a:schemeClr val="accent2"/>
            </a:solidFill>
            <a:ln>
              <a:noFill/>
            </a:ln>
            <a:effectLst/>
          </c:spPr>
          <c:invertIfNegative val="0"/>
          <c:cat>
            <c:strRef>
              <c:f>'[10608.xlsx]Sheet1'!$E$3:$I$4</c:f>
              <c:strCache>
                <c:ptCount val="5"/>
                <c:pt idx="0">
                  <c:v>Unilver PLC</c:v>
                </c:pt>
                <c:pt idx="1">
                  <c:v>Procter &amp; Gamble</c:v>
                </c:pt>
                <c:pt idx="2">
                  <c:v>Kimberly-Clark</c:v>
                </c:pt>
                <c:pt idx="3">
                  <c:v>Kellogg's</c:v>
                </c:pt>
                <c:pt idx="4">
                  <c:v>General Mills</c:v>
                </c:pt>
              </c:strCache>
            </c:strRef>
          </c:cat>
          <c:val>
            <c:numRef>
              <c:f>'[10608.xlsx]Sheet1'!$E$6:$I$6</c:f>
              <c:numCache>
                <c:formatCode>General</c:formatCode>
                <c:ptCount val="5"/>
                <c:pt idx="0">
                  <c:v>10.6</c:v>
                </c:pt>
                <c:pt idx="1">
                  <c:v>9.8000000000000007</c:v>
                </c:pt>
                <c:pt idx="2">
                  <c:v>9.9</c:v>
                </c:pt>
                <c:pt idx="3">
                  <c:v>11.3</c:v>
                </c:pt>
                <c:pt idx="4">
                  <c:v>11.3</c:v>
                </c:pt>
              </c:numCache>
            </c:numRef>
          </c:val>
          <c:extLst>
            <c:ext xmlns:c16="http://schemas.microsoft.com/office/drawing/2014/chart" uri="{C3380CC4-5D6E-409C-BE32-E72D297353CC}">
              <c16:uniqueId val="{00000001-19EB-B549-AC72-FD6D3E886817}"/>
            </c:ext>
          </c:extLst>
        </c:ser>
        <c:dLbls>
          <c:showLegendKey val="0"/>
          <c:showVal val="0"/>
          <c:showCatName val="0"/>
          <c:showSerName val="0"/>
          <c:showPercent val="0"/>
          <c:showBubbleSize val="0"/>
        </c:dLbls>
        <c:gapWidth val="219"/>
        <c:overlap val="-27"/>
        <c:axId val="481044128"/>
        <c:axId val="481039424"/>
      </c:barChart>
      <c:catAx>
        <c:axId val="481044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039424"/>
        <c:crosses val="autoZero"/>
        <c:auto val="1"/>
        <c:lblAlgn val="ctr"/>
        <c:lblOffset val="100"/>
        <c:noMultiLvlLbl val="0"/>
      </c:catAx>
      <c:valAx>
        <c:axId val="481039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044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GEARING</a:t>
            </a:r>
            <a:r>
              <a:rPr lang="en-US" baseline="0"/>
              <a:t> RATIO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'[10608.xlsx]Sheet1'!$D$5</c:f>
              <c:strCache>
                <c:ptCount val="1"/>
                <c:pt idx="0">
                  <c:v>2015</c:v>
                </c:pt>
              </c:strCache>
            </c:strRef>
          </c:tx>
          <c:spPr>
            <a:solidFill>
              <a:schemeClr val="accent1"/>
            </a:solidFill>
            <a:ln>
              <a:noFill/>
            </a:ln>
            <a:effectLst/>
          </c:spPr>
          <c:invertIfNegative val="0"/>
          <c:cat>
            <c:strRef>
              <c:f>'[10608.xlsx]Sheet1'!$E$3:$I$4</c:f>
              <c:strCache>
                <c:ptCount val="5"/>
                <c:pt idx="0">
                  <c:v>Unilver PLC</c:v>
                </c:pt>
                <c:pt idx="1">
                  <c:v>Procter &amp; Gamble</c:v>
                </c:pt>
                <c:pt idx="2">
                  <c:v>Kimberly-Clark</c:v>
                </c:pt>
                <c:pt idx="3">
                  <c:v>Kellogg's</c:v>
                </c:pt>
                <c:pt idx="4">
                  <c:v>General Mills</c:v>
                </c:pt>
              </c:strCache>
            </c:strRef>
          </c:cat>
          <c:val>
            <c:numRef>
              <c:f>'[10608.xlsx]Sheet1'!$E$5:$I$5</c:f>
              <c:numCache>
                <c:formatCode>General</c:formatCode>
                <c:ptCount val="5"/>
                <c:pt idx="0">
                  <c:v>1</c:v>
                </c:pt>
                <c:pt idx="1">
                  <c:v>1.1000000000000001</c:v>
                </c:pt>
                <c:pt idx="2">
                  <c:v>1.2</c:v>
                </c:pt>
                <c:pt idx="3">
                  <c:v>1.8</c:v>
                </c:pt>
                <c:pt idx="4">
                  <c:v>1.4</c:v>
                </c:pt>
              </c:numCache>
            </c:numRef>
          </c:val>
          <c:extLst>
            <c:ext xmlns:c16="http://schemas.microsoft.com/office/drawing/2014/chart" uri="{C3380CC4-5D6E-409C-BE32-E72D297353CC}">
              <c16:uniqueId val="{00000000-0731-DF4B-8E23-96551F1E25DC}"/>
            </c:ext>
          </c:extLst>
        </c:ser>
        <c:ser>
          <c:idx val="1"/>
          <c:order val="1"/>
          <c:tx>
            <c:strRef>
              <c:f>'[10608.xlsx]Sheet1'!$D$6</c:f>
              <c:strCache>
                <c:ptCount val="1"/>
                <c:pt idx="0">
                  <c:v>2016</c:v>
                </c:pt>
              </c:strCache>
            </c:strRef>
          </c:tx>
          <c:spPr>
            <a:solidFill>
              <a:schemeClr val="accent2"/>
            </a:solidFill>
            <a:ln>
              <a:noFill/>
            </a:ln>
            <a:effectLst/>
          </c:spPr>
          <c:invertIfNegative val="0"/>
          <c:cat>
            <c:strRef>
              <c:f>'[10608.xlsx]Sheet1'!$E$3:$I$4</c:f>
              <c:strCache>
                <c:ptCount val="5"/>
                <c:pt idx="0">
                  <c:v>Unilver PLC</c:v>
                </c:pt>
                <c:pt idx="1">
                  <c:v>Procter &amp; Gamble</c:v>
                </c:pt>
                <c:pt idx="2">
                  <c:v>Kimberly-Clark</c:v>
                </c:pt>
                <c:pt idx="3">
                  <c:v>Kellogg's</c:v>
                </c:pt>
                <c:pt idx="4">
                  <c:v>General Mills</c:v>
                </c:pt>
              </c:strCache>
            </c:strRef>
          </c:cat>
          <c:val>
            <c:numRef>
              <c:f>'[10608.xlsx]Sheet1'!$E$6:$I$6</c:f>
              <c:numCache>
                <c:formatCode>General</c:formatCode>
                <c:ptCount val="5"/>
                <c:pt idx="0">
                  <c:v>1.1000000000000001</c:v>
                </c:pt>
                <c:pt idx="1">
                  <c:v>1.3</c:v>
                </c:pt>
                <c:pt idx="2">
                  <c:v>1.6</c:v>
                </c:pt>
                <c:pt idx="3">
                  <c:v>2</c:v>
                </c:pt>
                <c:pt idx="4">
                  <c:v>1.7</c:v>
                </c:pt>
              </c:numCache>
            </c:numRef>
          </c:val>
          <c:extLst>
            <c:ext xmlns:c16="http://schemas.microsoft.com/office/drawing/2014/chart" uri="{C3380CC4-5D6E-409C-BE32-E72D297353CC}">
              <c16:uniqueId val="{00000001-0731-DF4B-8E23-96551F1E25DC}"/>
            </c:ext>
          </c:extLst>
        </c:ser>
        <c:dLbls>
          <c:showLegendKey val="0"/>
          <c:showVal val="0"/>
          <c:showCatName val="0"/>
          <c:showSerName val="0"/>
          <c:showPercent val="0"/>
          <c:showBubbleSize val="0"/>
        </c:dLbls>
        <c:gapWidth val="219"/>
        <c:overlap val="-27"/>
        <c:axId val="480723600"/>
        <c:axId val="480725952"/>
      </c:barChart>
      <c:catAx>
        <c:axId val="480723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725952"/>
        <c:crosses val="autoZero"/>
        <c:auto val="1"/>
        <c:lblAlgn val="ctr"/>
        <c:lblOffset val="100"/>
        <c:noMultiLvlLbl val="0"/>
      </c:catAx>
      <c:valAx>
        <c:axId val="480725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723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A0613-E265-9C44-A040-9F6C7B7F9A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8605</Words>
  <Characters>49049</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57539</CharactersWithSpaces>
  <SharedDoc>false</SharedDoc>
  <HLinks>
    <vt:vector size="390" baseType="variant">
      <vt:variant>
        <vt:i4>1507384</vt:i4>
      </vt:variant>
      <vt:variant>
        <vt:i4>386</vt:i4>
      </vt:variant>
      <vt:variant>
        <vt:i4>0</vt:i4>
      </vt:variant>
      <vt:variant>
        <vt:i4>5</vt:i4>
      </vt:variant>
      <vt:variant>
        <vt:lpwstr/>
      </vt:variant>
      <vt:variant>
        <vt:lpwstr>_Toc528427710</vt:lpwstr>
      </vt:variant>
      <vt:variant>
        <vt:i4>1441848</vt:i4>
      </vt:variant>
      <vt:variant>
        <vt:i4>380</vt:i4>
      </vt:variant>
      <vt:variant>
        <vt:i4>0</vt:i4>
      </vt:variant>
      <vt:variant>
        <vt:i4>5</vt:i4>
      </vt:variant>
      <vt:variant>
        <vt:lpwstr/>
      </vt:variant>
      <vt:variant>
        <vt:lpwstr>_Toc528427709</vt:lpwstr>
      </vt:variant>
      <vt:variant>
        <vt:i4>1441848</vt:i4>
      </vt:variant>
      <vt:variant>
        <vt:i4>374</vt:i4>
      </vt:variant>
      <vt:variant>
        <vt:i4>0</vt:i4>
      </vt:variant>
      <vt:variant>
        <vt:i4>5</vt:i4>
      </vt:variant>
      <vt:variant>
        <vt:lpwstr/>
      </vt:variant>
      <vt:variant>
        <vt:lpwstr>_Toc528427708</vt:lpwstr>
      </vt:variant>
      <vt:variant>
        <vt:i4>1441848</vt:i4>
      </vt:variant>
      <vt:variant>
        <vt:i4>368</vt:i4>
      </vt:variant>
      <vt:variant>
        <vt:i4>0</vt:i4>
      </vt:variant>
      <vt:variant>
        <vt:i4>5</vt:i4>
      </vt:variant>
      <vt:variant>
        <vt:lpwstr/>
      </vt:variant>
      <vt:variant>
        <vt:lpwstr>_Toc528427707</vt:lpwstr>
      </vt:variant>
      <vt:variant>
        <vt:i4>1441848</vt:i4>
      </vt:variant>
      <vt:variant>
        <vt:i4>362</vt:i4>
      </vt:variant>
      <vt:variant>
        <vt:i4>0</vt:i4>
      </vt:variant>
      <vt:variant>
        <vt:i4>5</vt:i4>
      </vt:variant>
      <vt:variant>
        <vt:lpwstr/>
      </vt:variant>
      <vt:variant>
        <vt:lpwstr>_Toc528427706</vt:lpwstr>
      </vt:variant>
      <vt:variant>
        <vt:i4>1441848</vt:i4>
      </vt:variant>
      <vt:variant>
        <vt:i4>356</vt:i4>
      </vt:variant>
      <vt:variant>
        <vt:i4>0</vt:i4>
      </vt:variant>
      <vt:variant>
        <vt:i4>5</vt:i4>
      </vt:variant>
      <vt:variant>
        <vt:lpwstr/>
      </vt:variant>
      <vt:variant>
        <vt:lpwstr>_Toc528427705</vt:lpwstr>
      </vt:variant>
      <vt:variant>
        <vt:i4>1441848</vt:i4>
      </vt:variant>
      <vt:variant>
        <vt:i4>350</vt:i4>
      </vt:variant>
      <vt:variant>
        <vt:i4>0</vt:i4>
      </vt:variant>
      <vt:variant>
        <vt:i4>5</vt:i4>
      </vt:variant>
      <vt:variant>
        <vt:lpwstr/>
      </vt:variant>
      <vt:variant>
        <vt:lpwstr>_Toc528427704</vt:lpwstr>
      </vt:variant>
      <vt:variant>
        <vt:i4>1441848</vt:i4>
      </vt:variant>
      <vt:variant>
        <vt:i4>344</vt:i4>
      </vt:variant>
      <vt:variant>
        <vt:i4>0</vt:i4>
      </vt:variant>
      <vt:variant>
        <vt:i4>5</vt:i4>
      </vt:variant>
      <vt:variant>
        <vt:lpwstr/>
      </vt:variant>
      <vt:variant>
        <vt:lpwstr>_Toc528427703</vt:lpwstr>
      </vt:variant>
      <vt:variant>
        <vt:i4>1441848</vt:i4>
      </vt:variant>
      <vt:variant>
        <vt:i4>338</vt:i4>
      </vt:variant>
      <vt:variant>
        <vt:i4>0</vt:i4>
      </vt:variant>
      <vt:variant>
        <vt:i4>5</vt:i4>
      </vt:variant>
      <vt:variant>
        <vt:lpwstr/>
      </vt:variant>
      <vt:variant>
        <vt:lpwstr>_Toc528427702</vt:lpwstr>
      </vt:variant>
      <vt:variant>
        <vt:i4>1441848</vt:i4>
      </vt:variant>
      <vt:variant>
        <vt:i4>332</vt:i4>
      </vt:variant>
      <vt:variant>
        <vt:i4>0</vt:i4>
      </vt:variant>
      <vt:variant>
        <vt:i4>5</vt:i4>
      </vt:variant>
      <vt:variant>
        <vt:lpwstr/>
      </vt:variant>
      <vt:variant>
        <vt:lpwstr>_Toc528427701</vt:lpwstr>
      </vt:variant>
      <vt:variant>
        <vt:i4>1441848</vt:i4>
      </vt:variant>
      <vt:variant>
        <vt:i4>326</vt:i4>
      </vt:variant>
      <vt:variant>
        <vt:i4>0</vt:i4>
      </vt:variant>
      <vt:variant>
        <vt:i4>5</vt:i4>
      </vt:variant>
      <vt:variant>
        <vt:lpwstr/>
      </vt:variant>
      <vt:variant>
        <vt:lpwstr>_Toc528427700</vt:lpwstr>
      </vt:variant>
      <vt:variant>
        <vt:i4>2031673</vt:i4>
      </vt:variant>
      <vt:variant>
        <vt:i4>320</vt:i4>
      </vt:variant>
      <vt:variant>
        <vt:i4>0</vt:i4>
      </vt:variant>
      <vt:variant>
        <vt:i4>5</vt:i4>
      </vt:variant>
      <vt:variant>
        <vt:lpwstr/>
      </vt:variant>
      <vt:variant>
        <vt:lpwstr>_Toc528427699</vt:lpwstr>
      </vt:variant>
      <vt:variant>
        <vt:i4>2031673</vt:i4>
      </vt:variant>
      <vt:variant>
        <vt:i4>314</vt:i4>
      </vt:variant>
      <vt:variant>
        <vt:i4>0</vt:i4>
      </vt:variant>
      <vt:variant>
        <vt:i4>5</vt:i4>
      </vt:variant>
      <vt:variant>
        <vt:lpwstr/>
      </vt:variant>
      <vt:variant>
        <vt:lpwstr>_Toc528427698</vt:lpwstr>
      </vt:variant>
      <vt:variant>
        <vt:i4>2031673</vt:i4>
      </vt:variant>
      <vt:variant>
        <vt:i4>308</vt:i4>
      </vt:variant>
      <vt:variant>
        <vt:i4>0</vt:i4>
      </vt:variant>
      <vt:variant>
        <vt:i4>5</vt:i4>
      </vt:variant>
      <vt:variant>
        <vt:lpwstr/>
      </vt:variant>
      <vt:variant>
        <vt:lpwstr>_Toc528427697</vt:lpwstr>
      </vt:variant>
      <vt:variant>
        <vt:i4>2031673</vt:i4>
      </vt:variant>
      <vt:variant>
        <vt:i4>302</vt:i4>
      </vt:variant>
      <vt:variant>
        <vt:i4>0</vt:i4>
      </vt:variant>
      <vt:variant>
        <vt:i4>5</vt:i4>
      </vt:variant>
      <vt:variant>
        <vt:lpwstr/>
      </vt:variant>
      <vt:variant>
        <vt:lpwstr>_Toc528427696</vt:lpwstr>
      </vt:variant>
      <vt:variant>
        <vt:i4>2031673</vt:i4>
      </vt:variant>
      <vt:variant>
        <vt:i4>296</vt:i4>
      </vt:variant>
      <vt:variant>
        <vt:i4>0</vt:i4>
      </vt:variant>
      <vt:variant>
        <vt:i4>5</vt:i4>
      </vt:variant>
      <vt:variant>
        <vt:lpwstr/>
      </vt:variant>
      <vt:variant>
        <vt:lpwstr>_Toc528427695</vt:lpwstr>
      </vt:variant>
      <vt:variant>
        <vt:i4>2031673</vt:i4>
      </vt:variant>
      <vt:variant>
        <vt:i4>290</vt:i4>
      </vt:variant>
      <vt:variant>
        <vt:i4>0</vt:i4>
      </vt:variant>
      <vt:variant>
        <vt:i4>5</vt:i4>
      </vt:variant>
      <vt:variant>
        <vt:lpwstr/>
      </vt:variant>
      <vt:variant>
        <vt:lpwstr>_Toc528427694</vt:lpwstr>
      </vt:variant>
      <vt:variant>
        <vt:i4>2031673</vt:i4>
      </vt:variant>
      <vt:variant>
        <vt:i4>284</vt:i4>
      </vt:variant>
      <vt:variant>
        <vt:i4>0</vt:i4>
      </vt:variant>
      <vt:variant>
        <vt:i4>5</vt:i4>
      </vt:variant>
      <vt:variant>
        <vt:lpwstr/>
      </vt:variant>
      <vt:variant>
        <vt:lpwstr>_Toc528427693</vt:lpwstr>
      </vt:variant>
      <vt:variant>
        <vt:i4>2031673</vt:i4>
      </vt:variant>
      <vt:variant>
        <vt:i4>278</vt:i4>
      </vt:variant>
      <vt:variant>
        <vt:i4>0</vt:i4>
      </vt:variant>
      <vt:variant>
        <vt:i4>5</vt:i4>
      </vt:variant>
      <vt:variant>
        <vt:lpwstr/>
      </vt:variant>
      <vt:variant>
        <vt:lpwstr>_Toc528427692</vt:lpwstr>
      </vt:variant>
      <vt:variant>
        <vt:i4>2031673</vt:i4>
      </vt:variant>
      <vt:variant>
        <vt:i4>272</vt:i4>
      </vt:variant>
      <vt:variant>
        <vt:i4>0</vt:i4>
      </vt:variant>
      <vt:variant>
        <vt:i4>5</vt:i4>
      </vt:variant>
      <vt:variant>
        <vt:lpwstr/>
      </vt:variant>
      <vt:variant>
        <vt:lpwstr>_Toc528427691</vt:lpwstr>
      </vt:variant>
      <vt:variant>
        <vt:i4>2031673</vt:i4>
      </vt:variant>
      <vt:variant>
        <vt:i4>266</vt:i4>
      </vt:variant>
      <vt:variant>
        <vt:i4>0</vt:i4>
      </vt:variant>
      <vt:variant>
        <vt:i4>5</vt:i4>
      </vt:variant>
      <vt:variant>
        <vt:lpwstr/>
      </vt:variant>
      <vt:variant>
        <vt:lpwstr>_Toc528427690</vt:lpwstr>
      </vt:variant>
      <vt:variant>
        <vt:i4>1966137</vt:i4>
      </vt:variant>
      <vt:variant>
        <vt:i4>260</vt:i4>
      </vt:variant>
      <vt:variant>
        <vt:i4>0</vt:i4>
      </vt:variant>
      <vt:variant>
        <vt:i4>5</vt:i4>
      </vt:variant>
      <vt:variant>
        <vt:lpwstr/>
      </vt:variant>
      <vt:variant>
        <vt:lpwstr>_Toc528427689</vt:lpwstr>
      </vt:variant>
      <vt:variant>
        <vt:i4>1966137</vt:i4>
      </vt:variant>
      <vt:variant>
        <vt:i4>254</vt:i4>
      </vt:variant>
      <vt:variant>
        <vt:i4>0</vt:i4>
      </vt:variant>
      <vt:variant>
        <vt:i4>5</vt:i4>
      </vt:variant>
      <vt:variant>
        <vt:lpwstr/>
      </vt:variant>
      <vt:variant>
        <vt:lpwstr>_Toc528427687</vt:lpwstr>
      </vt:variant>
      <vt:variant>
        <vt:i4>1966137</vt:i4>
      </vt:variant>
      <vt:variant>
        <vt:i4>248</vt:i4>
      </vt:variant>
      <vt:variant>
        <vt:i4>0</vt:i4>
      </vt:variant>
      <vt:variant>
        <vt:i4>5</vt:i4>
      </vt:variant>
      <vt:variant>
        <vt:lpwstr/>
      </vt:variant>
      <vt:variant>
        <vt:lpwstr>_Toc528427686</vt:lpwstr>
      </vt:variant>
      <vt:variant>
        <vt:i4>1966137</vt:i4>
      </vt:variant>
      <vt:variant>
        <vt:i4>242</vt:i4>
      </vt:variant>
      <vt:variant>
        <vt:i4>0</vt:i4>
      </vt:variant>
      <vt:variant>
        <vt:i4>5</vt:i4>
      </vt:variant>
      <vt:variant>
        <vt:lpwstr/>
      </vt:variant>
      <vt:variant>
        <vt:lpwstr>_Toc528427685</vt:lpwstr>
      </vt:variant>
      <vt:variant>
        <vt:i4>1966137</vt:i4>
      </vt:variant>
      <vt:variant>
        <vt:i4>236</vt:i4>
      </vt:variant>
      <vt:variant>
        <vt:i4>0</vt:i4>
      </vt:variant>
      <vt:variant>
        <vt:i4>5</vt:i4>
      </vt:variant>
      <vt:variant>
        <vt:lpwstr/>
      </vt:variant>
      <vt:variant>
        <vt:lpwstr>_Toc528427684</vt:lpwstr>
      </vt:variant>
      <vt:variant>
        <vt:i4>1966137</vt:i4>
      </vt:variant>
      <vt:variant>
        <vt:i4>230</vt:i4>
      </vt:variant>
      <vt:variant>
        <vt:i4>0</vt:i4>
      </vt:variant>
      <vt:variant>
        <vt:i4>5</vt:i4>
      </vt:variant>
      <vt:variant>
        <vt:lpwstr/>
      </vt:variant>
      <vt:variant>
        <vt:lpwstr>_Toc528427683</vt:lpwstr>
      </vt:variant>
      <vt:variant>
        <vt:i4>1966137</vt:i4>
      </vt:variant>
      <vt:variant>
        <vt:i4>224</vt:i4>
      </vt:variant>
      <vt:variant>
        <vt:i4>0</vt:i4>
      </vt:variant>
      <vt:variant>
        <vt:i4>5</vt:i4>
      </vt:variant>
      <vt:variant>
        <vt:lpwstr/>
      </vt:variant>
      <vt:variant>
        <vt:lpwstr>_Toc528427682</vt:lpwstr>
      </vt:variant>
      <vt:variant>
        <vt:i4>1114169</vt:i4>
      </vt:variant>
      <vt:variant>
        <vt:i4>218</vt:i4>
      </vt:variant>
      <vt:variant>
        <vt:i4>0</vt:i4>
      </vt:variant>
      <vt:variant>
        <vt:i4>5</vt:i4>
      </vt:variant>
      <vt:variant>
        <vt:lpwstr/>
      </vt:variant>
      <vt:variant>
        <vt:lpwstr>_Toc528427676</vt:lpwstr>
      </vt:variant>
      <vt:variant>
        <vt:i4>1114169</vt:i4>
      </vt:variant>
      <vt:variant>
        <vt:i4>212</vt:i4>
      </vt:variant>
      <vt:variant>
        <vt:i4>0</vt:i4>
      </vt:variant>
      <vt:variant>
        <vt:i4>5</vt:i4>
      </vt:variant>
      <vt:variant>
        <vt:lpwstr/>
      </vt:variant>
      <vt:variant>
        <vt:lpwstr>_Toc528427674</vt:lpwstr>
      </vt:variant>
      <vt:variant>
        <vt:i4>1114169</vt:i4>
      </vt:variant>
      <vt:variant>
        <vt:i4>206</vt:i4>
      </vt:variant>
      <vt:variant>
        <vt:i4>0</vt:i4>
      </vt:variant>
      <vt:variant>
        <vt:i4>5</vt:i4>
      </vt:variant>
      <vt:variant>
        <vt:lpwstr/>
      </vt:variant>
      <vt:variant>
        <vt:lpwstr>_Toc528427673</vt:lpwstr>
      </vt:variant>
      <vt:variant>
        <vt:i4>1114169</vt:i4>
      </vt:variant>
      <vt:variant>
        <vt:i4>200</vt:i4>
      </vt:variant>
      <vt:variant>
        <vt:i4>0</vt:i4>
      </vt:variant>
      <vt:variant>
        <vt:i4>5</vt:i4>
      </vt:variant>
      <vt:variant>
        <vt:lpwstr/>
      </vt:variant>
      <vt:variant>
        <vt:lpwstr>_Toc528427672</vt:lpwstr>
      </vt:variant>
      <vt:variant>
        <vt:i4>1114169</vt:i4>
      </vt:variant>
      <vt:variant>
        <vt:i4>194</vt:i4>
      </vt:variant>
      <vt:variant>
        <vt:i4>0</vt:i4>
      </vt:variant>
      <vt:variant>
        <vt:i4>5</vt:i4>
      </vt:variant>
      <vt:variant>
        <vt:lpwstr/>
      </vt:variant>
      <vt:variant>
        <vt:lpwstr>_Toc528427671</vt:lpwstr>
      </vt:variant>
      <vt:variant>
        <vt:i4>1114169</vt:i4>
      </vt:variant>
      <vt:variant>
        <vt:i4>188</vt:i4>
      </vt:variant>
      <vt:variant>
        <vt:i4>0</vt:i4>
      </vt:variant>
      <vt:variant>
        <vt:i4>5</vt:i4>
      </vt:variant>
      <vt:variant>
        <vt:lpwstr/>
      </vt:variant>
      <vt:variant>
        <vt:lpwstr>_Toc528427670</vt:lpwstr>
      </vt:variant>
      <vt:variant>
        <vt:i4>1048633</vt:i4>
      </vt:variant>
      <vt:variant>
        <vt:i4>182</vt:i4>
      </vt:variant>
      <vt:variant>
        <vt:i4>0</vt:i4>
      </vt:variant>
      <vt:variant>
        <vt:i4>5</vt:i4>
      </vt:variant>
      <vt:variant>
        <vt:lpwstr/>
      </vt:variant>
      <vt:variant>
        <vt:lpwstr>_Toc528427669</vt:lpwstr>
      </vt:variant>
      <vt:variant>
        <vt:i4>1048633</vt:i4>
      </vt:variant>
      <vt:variant>
        <vt:i4>176</vt:i4>
      </vt:variant>
      <vt:variant>
        <vt:i4>0</vt:i4>
      </vt:variant>
      <vt:variant>
        <vt:i4>5</vt:i4>
      </vt:variant>
      <vt:variant>
        <vt:lpwstr/>
      </vt:variant>
      <vt:variant>
        <vt:lpwstr>_Toc528427668</vt:lpwstr>
      </vt:variant>
      <vt:variant>
        <vt:i4>1048633</vt:i4>
      </vt:variant>
      <vt:variant>
        <vt:i4>170</vt:i4>
      </vt:variant>
      <vt:variant>
        <vt:i4>0</vt:i4>
      </vt:variant>
      <vt:variant>
        <vt:i4>5</vt:i4>
      </vt:variant>
      <vt:variant>
        <vt:lpwstr/>
      </vt:variant>
      <vt:variant>
        <vt:lpwstr>_Toc528427667</vt:lpwstr>
      </vt:variant>
      <vt:variant>
        <vt:i4>1048633</vt:i4>
      </vt:variant>
      <vt:variant>
        <vt:i4>164</vt:i4>
      </vt:variant>
      <vt:variant>
        <vt:i4>0</vt:i4>
      </vt:variant>
      <vt:variant>
        <vt:i4>5</vt:i4>
      </vt:variant>
      <vt:variant>
        <vt:lpwstr/>
      </vt:variant>
      <vt:variant>
        <vt:lpwstr>_Toc528427666</vt:lpwstr>
      </vt:variant>
      <vt:variant>
        <vt:i4>1048633</vt:i4>
      </vt:variant>
      <vt:variant>
        <vt:i4>158</vt:i4>
      </vt:variant>
      <vt:variant>
        <vt:i4>0</vt:i4>
      </vt:variant>
      <vt:variant>
        <vt:i4>5</vt:i4>
      </vt:variant>
      <vt:variant>
        <vt:lpwstr/>
      </vt:variant>
      <vt:variant>
        <vt:lpwstr>_Toc528427665</vt:lpwstr>
      </vt:variant>
      <vt:variant>
        <vt:i4>1048633</vt:i4>
      </vt:variant>
      <vt:variant>
        <vt:i4>152</vt:i4>
      </vt:variant>
      <vt:variant>
        <vt:i4>0</vt:i4>
      </vt:variant>
      <vt:variant>
        <vt:i4>5</vt:i4>
      </vt:variant>
      <vt:variant>
        <vt:lpwstr/>
      </vt:variant>
      <vt:variant>
        <vt:lpwstr>_Toc528427664</vt:lpwstr>
      </vt:variant>
      <vt:variant>
        <vt:i4>1048633</vt:i4>
      </vt:variant>
      <vt:variant>
        <vt:i4>146</vt:i4>
      </vt:variant>
      <vt:variant>
        <vt:i4>0</vt:i4>
      </vt:variant>
      <vt:variant>
        <vt:i4>5</vt:i4>
      </vt:variant>
      <vt:variant>
        <vt:lpwstr/>
      </vt:variant>
      <vt:variant>
        <vt:lpwstr>_Toc528427663</vt:lpwstr>
      </vt:variant>
      <vt:variant>
        <vt:i4>1048633</vt:i4>
      </vt:variant>
      <vt:variant>
        <vt:i4>140</vt:i4>
      </vt:variant>
      <vt:variant>
        <vt:i4>0</vt:i4>
      </vt:variant>
      <vt:variant>
        <vt:i4>5</vt:i4>
      </vt:variant>
      <vt:variant>
        <vt:lpwstr/>
      </vt:variant>
      <vt:variant>
        <vt:lpwstr>_Toc528427662</vt:lpwstr>
      </vt:variant>
      <vt:variant>
        <vt:i4>1048633</vt:i4>
      </vt:variant>
      <vt:variant>
        <vt:i4>134</vt:i4>
      </vt:variant>
      <vt:variant>
        <vt:i4>0</vt:i4>
      </vt:variant>
      <vt:variant>
        <vt:i4>5</vt:i4>
      </vt:variant>
      <vt:variant>
        <vt:lpwstr/>
      </vt:variant>
      <vt:variant>
        <vt:lpwstr>_Toc528427661</vt:lpwstr>
      </vt:variant>
      <vt:variant>
        <vt:i4>1048633</vt:i4>
      </vt:variant>
      <vt:variant>
        <vt:i4>128</vt:i4>
      </vt:variant>
      <vt:variant>
        <vt:i4>0</vt:i4>
      </vt:variant>
      <vt:variant>
        <vt:i4>5</vt:i4>
      </vt:variant>
      <vt:variant>
        <vt:lpwstr/>
      </vt:variant>
      <vt:variant>
        <vt:lpwstr>_Toc528427660</vt:lpwstr>
      </vt:variant>
      <vt:variant>
        <vt:i4>1245241</vt:i4>
      </vt:variant>
      <vt:variant>
        <vt:i4>122</vt:i4>
      </vt:variant>
      <vt:variant>
        <vt:i4>0</vt:i4>
      </vt:variant>
      <vt:variant>
        <vt:i4>5</vt:i4>
      </vt:variant>
      <vt:variant>
        <vt:lpwstr/>
      </vt:variant>
      <vt:variant>
        <vt:lpwstr>_Toc528427659</vt:lpwstr>
      </vt:variant>
      <vt:variant>
        <vt:i4>1245241</vt:i4>
      </vt:variant>
      <vt:variant>
        <vt:i4>116</vt:i4>
      </vt:variant>
      <vt:variant>
        <vt:i4>0</vt:i4>
      </vt:variant>
      <vt:variant>
        <vt:i4>5</vt:i4>
      </vt:variant>
      <vt:variant>
        <vt:lpwstr/>
      </vt:variant>
      <vt:variant>
        <vt:lpwstr>_Toc528427658</vt:lpwstr>
      </vt:variant>
      <vt:variant>
        <vt:i4>1245241</vt:i4>
      </vt:variant>
      <vt:variant>
        <vt:i4>110</vt:i4>
      </vt:variant>
      <vt:variant>
        <vt:i4>0</vt:i4>
      </vt:variant>
      <vt:variant>
        <vt:i4>5</vt:i4>
      </vt:variant>
      <vt:variant>
        <vt:lpwstr/>
      </vt:variant>
      <vt:variant>
        <vt:lpwstr>_Toc528427657</vt:lpwstr>
      </vt:variant>
      <vt:variant>
        <vt:i4>1245241</vt:i4>
      </vt:variant>
      <vt:variant>
        <vt:i4>104</vt:i4>
      </vt:variant>
      <vt:variant>
        <vt:i4>0</vt:i4>
      </vt:variant>
      <vt:variant>
        <vt:i4>5</vt:i4>
      </vt:variant>
      <vt:variant>
        <vt:lpwstr/>
      </vt:variant>
      <vt:variant>
        <vt:lpwstr>_Toc528427656</vt:lpwstr>
      </vt:variant>
      <vt:variant>
        <vt:i4>1245241</vt:i4>
      </vt:variant>
      <vt:variant>
        <vt:i4>98</vt:i4>
      </vt:variant>
      <vt:variant>
        <vt:i4>0</vt:i4>
      </vt:variant>
      <vt:variant>
        <vt:i4>5</vt:i4>
      </vt:variant>
      <vt:variant>
        <vt:lpwstr/>
      </vt:variant>
      <vt:variant>
        <vt:lpwstr>_Toc528427655</vt:lpwstr>
      </vt:variant>
      <vt:variant>
        <vt:i4>1245241</vt:i4>
      </vt:variant>
      <vt:variant>
        <vt:i4>92</vt:i4>
      </vt:variant>
      <vt:variant>
        <vt:i4>0</vt:i4>
      </vt:variant>
      <vt:variant>
        <vt:i4>5</vt:i4>
      </vt:variant>
      <vt:variant>
        <vt:lpwstr/>
      </vt:variant>
      <vt:variant>
        <vt:lpwstr>_Toc528427654</vt:lpwstr>
      </vt:variant>
      <vt:variant>
        <vt:i4>1245241</vt:i4>
      </vt:variant>
      <vt:variant>
        <vt:i4>86</vt:i4>
      </vt:variant>
      <vt:variant>
        <vt:i4>0</vt:i4>
      </vt:variant>
      <vt:variant>
        <vt:i4>5</vt:i4>
      </vt:variant>
      <vt:variant>
        <vt:lpwstr/>
      </vt:variant>
      <vt:variant>
        <vt:lpwstr>_Toc528427653</vt:lpwstr>
      </vt:variant>
      <vt:variant>
        <vt:i4>1245241</vt:i4>
      </vt:variant>
      <vt:variant>
        <vt:i4>80</vt:i4>
      </vt:variant>
      <vt:variant>
        <vt:i4>0</vt:i4>
      </vt:variant>
      <vt:variant>
        <vt:i4>5</vt:i4>
      </vt:variant>
      <vt:variant>
        <vt:lpwstr/>
      </vt:variant>
      <vt:variant>
        <vt:lpwstr>_Toc528427652</vt:lpwstr>
      </vt:variant>
      <vt:variant>
        <vt:i4>1245241</vt:i4>
      </vt:variant>
      <vt:variant>
        <vt:i4>74</vt:i4>
      </vt:variant>
      <vt:variant>
        <vt:i4>0</vt:i4>
      </vt:variant>
      <vt:variant>
        <vt:i4>5</vt:i4>
      </vt:variant>
      <vt:variant>
        <vt:lpwstr/>
      </vt:variant>
      <vt:variant>
        <vt:lpwstr>_Toc528427651</vt:lpwstr>
      </vt:variant>
      <vt:variant>
        <vt:i4>1245241</vt:i4>
      </vt:variant>
      <vt:variant>
        <vt:i4>68</vt:i4>
      </vt:variant>
      <vt:variant>
        <vt:i4>0</vt:i4>
      </vt:variant>
      <vt:variant>
        <vt:i4>5</vt:i4>
      </vt:variant>
      <vt:variant>
        <vt:lpwstr/>
      </vt:variant>
      <vt:variant>
        <vt:lpwstr>_Toc528427650</vt:lpwstr>
      </vt:variant>
      <vt:variant>
        <vt:i4>1179705</vt:i4>
      </vt:variant>
      <vt:variant>
        <vt:i4>62</vt:i4>
      </vt:variant>
      <vt:variant>
        <vt:i4>0</vt:i4>
      </vt:variant>
      <vt:variant>
        <vt:i4>5</vt:i4>
      </vt:variant>
      <vt:variant>
        <vt:lpwstr/>
      </vt:variant>
      <vt:variant>
        <vt:lpwstr>_Toc528427649</vt:lpwstr>
      </vt:variant>
      <vt:variant>
        <vt:i4>1179705</vt:i4>
      </vt:variant>
      <vt:variant>
        <vt:i4>56</vt:i4>
      </vt:variant>
      <vt:variant>
        <vt:i4>0</vt:i4>
      </vt:variant>
      <vt:variant>
        <vt:i4>5</vt:i4>
      </vt:variant>
      <vt:variant>
        <vt:lpwstr/>
      </vt:variant>
      <vt:variant>
        <vt:lpwstr>_Toc528427648</vt:lpwstr>
      </vt:variant>
      <vt:variant>
        <vt:i4>1179705</vt:i4>
      </vt:variant>
      <vt:variant>
        <vt:i4>50</vt:i4>
      </vt:variant>
      <vt:variant>
        <vt:i4>0</vt:i4>
      </vt:variant>
      <vt:variant>
        <vt:i4>5</vt:i4>
      </vt:variant>
      <vt:variant>
        <vt:lpwstr/>
      </vt:variant>
      <vt:variant>
        <vt:lpwstr>_Toc528427647</vt:lpwstr>
      </vt:variant>
      <vt:variant>
        <vt:i4>1179705</vt:i4>
      </vt:variant>
      <vt:variant>
        <vt:i4>44</vt:i4>
      </vt:variant>
      <vt:variant>
        <vt:i4>0</vt:i4>
      </vt:variant>
      <vt:variant>
        <vt:i4>5</vt:i4>
      </vt:variant>
      <vt:variant>
        <vt:lpwstr/>
      </vt:variant>
      <vt:variant>
        <vt:lpwstr>_Toc528427646</vt:lpwstr>
      </vt:variant>
      <vt:variant>
        <vt:i4>1179705</vt:i4>
      </vt:variant>
      <vt:variant>
        <vt:i4>38</vt:i4>
      </vt:variant>
      <vt:variant>
        <vt:i4>0</vt:i4>
      </vt:variant>
      <vt:variant>
        <vt:i4>5</vt:i4>
      </vt:variant>
      <vt:variant>
        <vt:lpwstr/>
      </vt:variant>
      <vt:variant>
        <vt:lpwstr>_Toc528427645</vt:lpwstr>
      </vt:variant>
      <vt:variant>
        <vt:i4>1179705</vt:i4>
      </vt:variant>
      <vt:variant>
        <vt:i4>32</vt:i4>
      </vt:variant>
      <vt:variant>
        <vt:i4>0</vt:i4>
      </vt:variant>
      <vt:variant>
        <vt:i4>5</vt:i4>
      </vt:variant>
      <vt:variant>
        <vt:lpwstr/>
      </vt:variant>
      <vt:variant>
        <vt:lpwstr>_Toc528427644</vt:lpwstr>
      </vt:variant>
      <vt:variant>
        <vt:i4>1179705</vt:i4>
      </vt:variant>
      <vt:variant>
        <vt:i4>26</vt:i4>
      </vt:variant>
      <vt:variant>
        <vt:i4>0</vt:i4>
      </vt:variant>
      <vt:variant>
        <vt:i4>5</vt:i4>
      </vt:variant>
      <vt:variant>
        <vt:lpwstr/>
      </vt:variant>
      <vt:variant>
        <vt:lpwstr>_Toc528427643</vt:lpwstr>
      </vt:variant>
      <vt:variant>
        <vt:i4>1179705</vt:i4>
      </vt:variant>
      <vt:variant>
        <vt:i4>20</vt:i4>
      </vt:variant>
      <vt:variant>
        <vt:i4>0</vt:i4>
      </vt:variant>
      <vt:variant>
        <vt:i4>5</vt:i4>
      </vt:variant>
      <vt:variant>
        <vt:lpwstr/>
      </vt:variant>
      <vt:variant>
        <vt:lpwstr>_Toc528427642</vt:lpwstr>
      </vt:variant>
      <vt:variant>
        <vt:i4>1179705</vt:i4>
      </vt:variant>
      <vt:variant>
        <vt:i4>14</vt:i4>
      </vt:variant>
      <vt:variant>
        <vt:i4>0</vt:i4>
      </vt:variant>
      <vt:variant>
        <vt:i4>5</vt:i4>
      </vt:variant>
      <vt:variant>
        <vt:lpwstr/>
      </vt:variant>
      <vt:variant>
        <vt:lpwstr>_Toc528427641</vt:lpwstr>
      </vt:variant>
      <vt:variant>
        <vt:i4>1179705</vt:i4>
      </vt:variant>
      <vt:variant>
        <vt:i4>8</vt:i4>
      </vt:variant>
      <vt:variant>
        <vt:i4>0</vt:i4>
      </vt:variant>
      <vt:variant>
        <vt:i4>5</vt:i4>
      </vt:variant>
      <vt:variant>
        <vt:lpwstr/>
      </vt:variant>
      <vt:variant>
        <vt:lpwstr>_Toc528427640</vt:lpwstr>
      </vt:variant>
      <vt:variant>
        <vt:i4>1376313</vt:i4>
      </vt:variant>
      <vt:variant>
        <vt:i4>2</vt:i4>
      </vt:variant>
      <vt:variant>
        <vt:i4>0</vt:i4>
      </vt:variant>
      <vt:variant>
        <vt:i4>5</vt:i4>
      </vt:variant>
      <vt:variant>
        <vt:lpwstr/>
      </vt:variant>
      <vt:variant>
        <vt:lpwstr>_Toc528427639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nyagwara</dc:creator>
  <cp:keywords/>
  <cp:lastModifiedBy>Guest User</cp:lastModifiedBy>
  <cp:revision>2</cp:revision>
  <dcterms:created xsi:type="dcterms:W3CDTF">2018-12-27T16:38:00Z</dcterms:created>
  <dcterms:modified xsi:type="dcterms:W3CDTF">2018-12-27T16:38:00Z</dcterms:modified>
</cp:coreProperties>
</file>